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30, 2025</w:t>
      </w:r>
    </w:p>
    <w:p>
      <w:pPr>
        <w:spacing w:after="0" w:line="19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XPO,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080"/>
          </w:cols>
          <w:pgMar w:left="320" w:top="754" w:right="49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1"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001-32172</w:t>
      </w:r>
    </w:p>
    <w:p>
      <w:pPr>
        <w:spacing w:after="0" w:line="3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03-0450326</w:t>
      </w:r>
    </w:p>
    <w:p>
      <w:pPr>
        <w:spacing w:after="0" w:line="3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3840" w:space="720"/>
            <w:col w:w="3440" w:space="720"/>
            <w:col w:w="2360"/>
          </w:cols>
          <w:pgMar w:left="320" w:top="754" w:right="499" w:bottom="1440" w:gutter="0" w:footer="0" w:header="0"/>
          <w:type w:val="continuous"/>
        </w:sectPr>
      </w:pP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Five American Lane, Greenwich, Connecticut 06831</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(855) 976-6951</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Registrant’s telephone number, including area code)</w:t>
      </w:r>
    </w:p>
    <w:p>
      <w:pPr>
        <w:sectPr>
          <w:pgSz w:w="11900" w:h="16838" w:orient="portrait"/>
          <w:cols w:equalWidth="0" w:num="1">
            <w:col w:w="11080"/>
          </w:cols>
          <w:pgMar w:left="320" w:top="754" w:right="499" w:bottom="1440" w:gutter="0" w:footer="0" w:header="0"/>
          <w:type w:val="continuous"/>
        </w:sectPr>
      </w:pPr>
    </w:p>
    <w:p>
      <w:pPr>
        <w:spacing w:after="0" w:line="21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6" w:lineRule="exact"/>
        <w:rPr>
          <w:sz w:val="24"/>
          <w:szCs w:val="24"/>
          <w:color w:val="auto"/>
        </w:rPr>
      </w:pPr>
    </w:p>
    <w:tbl>
      <w:tblPr>
        <w:tblLayout w:type="fixed"/>
        <w:tblInd w:w="82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3240" w:type="dxa"/>
            <w:vAlign w:val="bottom"/>
            <w:gridSpan w:val="2"/>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8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412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8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XPO</w:t>
            </w:r>
          </w:p>
        </w:tc>
        <w:tc>
          <w:tcPr>
            <w:tcW w:w="4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754" w:right="499" w:bottom="1440" w:gutter="0" w:footer="0" w:header="0"/>
          <w:type w:val="continuous"/>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April 30, 2025, XPO, Inc. (the “Company”) issued a press release announcing its results of operations for the fiscal quarter ended March 31, 2025. A copy of the press release is furnished as Exhibit 99.1 to this Current Report on Form 8-K.</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shall not be deemed “filed” for purposes of Section 18 of the Securities Exchange Act of 1934 (the “Exchange Act”) or otherwise subject to the liabilities under that Section and shall not be deemed to be incorporated by reference into any filing of the Company under the Securities Act of 1933 or the Exchange Act, except as shall be expressly set forth by specific reference in such filing.</w:t>
      </w:r>
    </w:p>
    <w:p>
      <w:pPr>
        <w:spacing w:after="0" w:line="17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5780" w:type="dxa"/>
            <w:vAlign w:val="bottom"/>
          </w:tcPr>
          <w:p>
            <w:pPr>
              <w:spacing w:after="0"/>
              <w:rPr>
                <w:sz w:val="20"/>
                <w:szCs w:val="20"/>
                <w:color w:val="auto"/>
              </w:rPr>
            </w:pPr>
          </w:p>
        </w:tc>
      </w:tr>
      <w:tr>
        <w:trPr>
          <w:trHeight w:val="432"/>
        </w:trPr>
        <w:tc>
          <w:tcPr>
            <w:tcW w:w="11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Exhibit No.</w:t>
            </w:r>
          </w:p>
        </w:tc>
        <w:tc>
          <w:tcPr>
            <w:tcW w:w="220" w:type="dxa"/>
            <w:vAlign w:val="bottom"/>
          </w:tcPr>
          <w:p>
            <w:pPr>
              <w:spacing w:after="0"/>
              <w:rPr>
                <w:sz w:val="24"/>
                <w:szCs w:val="24"/>
                <w:color w:val="auto"/>
              </w:rPr>
            </w:pPr>
          </w:p>
        </w:tc>
        <w:tc>
          <w:tcPr>
            <w:tcW w:w="9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Exhibit Description</w:t>
            </w:r>
          </w:p>
        </w:tc>
      </w:tr>
      <w:tr>
        <w:trPr>
          <w:trHeight w:val="169"/>
        </w:trPr>
        <w:tc>
          <w:tcPr>
            <w:tcW w:w="1140" w:type="dxa"/>
            <w:vAlign w:val="bottom"/>
            <w:gridSpan w:val="3"/>
          </w:tcPr>
          <w:p>
            <w:pPr>
              <w:jc w:val="center"/>
              <w:ind w:right="380"/>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8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April 30, 2025, issued by XPO, Inc.</w:t>
            </w: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April 30, 2025</w:t>
      </w:r>
      <w:r>
        <w:rPr>
          <w:sz w:val="20"/>
          <w:szCs w:val="20"/>
          <w:color w:val="auto"/>
        </w:rPr>
        <w:tab/>
      </w:r>
      <w:r>
        <w:rPr>
          <w:rFonts w:ascii="Times New Roman" w:cs="Times New Roman" w:eastAsia="Times New Roman" w:hAnsi="Times New Roman"/>
          <w:sz w:val="17"/>
          <w:szCs w:val="17"/>
          <w:color w:val="auto"/>
        </w:rPr>
        <w:t>XPO,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Kyle Wismans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Kyle Wismans</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156845</wp:posOffset>
            </wp:positionV>
            <wp:extent cx="1354455" cy="522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5445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XPO Reports First Quarter 2025 Results</w:t>
      </w:r>
    </w:p>
    <w:p>
      <w:pPr>
        <w:spacing w:after="0" w:line="225"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GREENWICH, Conn. – April 30, 2025 – </w:t>
      </w:r>
      <w:r>
        <w:rPr>
          <w:rFonts w:ascii="Times New Roman" w:cs="Times New Roman" w:eastAsia="Times New Roman" w:hAnsi="Times New Roman"/>
          <w:sz w:val="18"/>
          <w:szCs w:val="18"/>
          <w:u w:val="single" w:color="auto"/>
          <w:color w:val="auto"/>
        </w:rPr>
        <w:t>XPO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(NYSE: XPO) today announced its financial results for the first quarter 2025. The company reported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diluted earnings per share of $0.58, compared with $0.56 for the same period in 2024, and adjusted diluted earnings per share of $0.73, compared with $0.81 for the same period in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gridSpan w:val="9"/>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First Quarter 2025 Summary Results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3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7"/>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Operating Income (Loss)</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Change %</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Change %</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2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North American Less-Than-Truckload</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European Transportation Segment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797</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493"/>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24"/>
                <w:szCs w:val="24"/>
                <w:color w:val="auto"/>
              </w:rPr>
            </w:pPr>
          </w:p>
        </w:tc>
        <w:tc>
          <w:tcPr>
            <w:tcW w:w="3800" w:type="dxa"/>
            <w:vAlign w:val="bottom"/>
            <w:gridSpan w:val="9"/>
          </w:tcPr>
          <w:p>
            <w:pPr>
              <w:ind w:left="560"/>
              <w:spacing w:after="0"/>
              <w:rPr>
                <w:sz w:val="20"/>
                <w:szCs w:val="20"/>
                <w:color w:val="auto"/>
              </w:rPr>
            </w:pPr>
            <w:r>
              <w:rPr>
                <w:rFonts w:ascii="Times New Roman" w:cs="Times New Roman" w:eastAsia="Times New Roman" w:hAnsi="Times New Roman"/>
                <w:sz w:val="18"/>
                <w:szCs w:val="18"/>
                <w:b w:val="1"/>
                <w:bCs w:val="1"/>
                <w:color w:val="auto"/>
              </w:rPr>
              <w:t>Adjusted Operating Income</w:t>
            </w:r>
            <w:r>
              <w:rPr>
                <w:rFonts w:ascii="Times New Roman" w:cs="Times New Roman" w:eastAsia="Times New Roman" w:hAnsi="Times New Roman"/>
                <w:sz w:val="29"/>
                <w:szCs w:val="29"/>
                <w:b w:val="1"/>
                <w:bCs w:val="1"/>
                <w:color w:val="auto"/>
                <w:vertAlign w:val="superscript"/>
              </w:rPr>
              <w:t>(1)</w:t>
            </w:r>
          </w:p>
        </w:tc>
        <w:tc>
          <w:tcPr>
            <w:tcW w:w="240" w:type="dxa"/>
            <w:vAlign w:val="bottom"/>
          </w:tcPr>
          <w:p>
            <w:pPr>
              <w:spacing w:after="0"/>
              <w:rPr>
                <w:sz w:val="24"/>
                <w:szCs w:val="24"/>
                <w:color w:val="auto"/>
              </w:rPr>
            </w:pPr>
          </w:p>
        </w:tc>
        <w:tc>
          <w:tcPr>
            <w:tcW w:w="2520" w:type="dxa"/>
            <w:vAlign w:val="bottom"/>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6"/>
              </w:rPr>
              <w:t>Adjusted EBITDA</w:t>
            </w:r>
            <w:r>
              <w:rPr>
                <w:rFonts w:ascii="Times New Roman" w:cs="Times New Roman" w:eastAsia="Times New Roman" w:hAnsi="Times New Roman"/>
                <w:sz w:val="29"/>
                <w:szCs w:val="29"/>
                <w:b w:val="1"/>
                <w:bCs w:val="1"/>
                <w:color w:val="auto"/>
                <w:w w:val="96"/>
                <w:vertAlign w:val="superscript"/>
              </w:rPr>
              <w:t>(1)</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80" w:type="dxa"/>
            <w:vAlign w:val="bottom"/>
            <w:vMerge w:val="continue"/>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Change %</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Change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2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North American Less-Than-Truckload</w:t>
            </w: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European Transportation Segment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2"/>
              </w:rPr>
              <w:t>NA</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2"/>
              </w:rPr>
              <w:t>NA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466"/>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millions, except for per-share data)</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Net Income</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10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Change %</w:t>
            </w:r>
          </w:p>
        </w:tc>
        <w:tc>
          <w:tcPr>
            <w:tcW w:w="260" w:type="dxa"/>
            <w:vAlign w:val="bottom"/>
            <w:tcBorders>
              <w:bottom w:val="single" w:sz="8" w:color="CCEEFF"/>
            </w:tcBorders>
            <w:gridSpan w:val="2"/>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Change %</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 millions, except for per-share data)</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Diluted Weighted-Average</w:t>
            </w:r>
          </w:p>
        </w:tc>
        <w:tc>
          <w:tcPr>
            <w:tcW w:w="260" w:type="dxa"/>
            <w:vAlign w:val="bottom"/>
          </w:tcPr>
          <w:p>
            <w:pPr>
              <w:spacing w:after="0"/>
              <w:rPr>
                <w:sz w:val="18"/>
                <w:szCs w:val="18"/>
                <w:color w:val="auto"/>
              </w:rPr>
            </w:pPr>
          </w:p>
        </w:tc>
        <w:tc>
          <w:tcPr>
            <w:tcW w:w="2820" w:type="dxa"/>
            <w:vAlign w:val="bottom"/>
            <w:gridSpan w:val="6"/>
            <w:vMerge w:val="restart"/>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7"/>
              </w:rPr>
              <w:t xml:space="preserve">Adjusted Diluted EPS </w:t>
            </w:r>
            <w:r>
              <w:rPr>
                <w:rFonts w:ascii="Times New Roman" w:cs="Times New Roman" w:eastAsia="Times New Roman" w:hAnsi="Times New Roman"/>
                <w:sz w:val="29"/>
                <w:szCs w:val="29"/>
                <w:b w:val="1"/>
                <w:bCs w:val="1"/>
                <w:color w:val="auto"/>
                <w:w w:val="97"/>
                <w:vertAlign w:val="superscript"/>
              </w:rPr>
              <w:t>(1)</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88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Common Shares Outstanding</w:t>
            </w:r>
          </w:p>
        </w:tc>
        <w:tc>
          <w:tcPr>
            <w:tcW w:w="260" w:type="dxa"/>
            <w:vAlign w:val="bottom"/>
          </w:tcPr>
          <w:p>
            <w:pPr>
              <w:spacing w:after="0"/>
              <w:rPr>
                <w:sz w:val="20"/>
                <w:szCs w:val="20"/>
                <w:color w:val="auto"/>
              </w:rPr>
            </w:pPr>
          </w:p>
        </w:tc>
        <w:tc>
          <w:tcPr>
            <w:tcW w:w="2820" w:type="dxa"/>
            <w:vAlign w:val="bottom"/>
            <w:gridSpan w:val="6"/>
            <w:vMerge w:val="continue"/>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Change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10"/>
        </w:trPr>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-153670</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0" w:space="720"/>
            <w:col w:w="7160"/>
          </w:cols>
          <w:pgMar w:left="320" w:top="333"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 - Not applicable</w:t>
      </w:r>
    </w:p>
    <w:p>
      <w:pPr>
        <w:ind w:left="220" w:hanging="212"/>
        <w:spacing w:after="0" w:line="205" w:lineRule="auto"/>
        <w:tabs>
          <w:tab w:leader="none" w:pos="220"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See the “Non-GAAP Financial Measures” section of the press release</w:t>
      </w:r>
    </w:p>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Mario Harik, chief executive officer of XPO, said, “We carried our momentum into 2025 and delivered first quarter financial results that outperformed the industry. Companywide, we reported adjusted EBITDA of $278 million and adjusted diluted EPS of $0.73, while operating more efficiently.</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North American LTL, we reported a sequential improvement in adjusted operating ratio to 85.9%, which outpaced seasonality. This brings our cumulative improvement in adjusted operating ratio to 370 basis points over two years in a soft freight environment. We accelerated first quarter yield growth, excluding fuel, to 6.9% and improved revenue per shipment sequentially for the ninth consecutive quarter, underpinned by record service quality. At the same time, we became more cost-efficient through tech-driven labor productivity and third-party linehaul insourcing. This included a year-over-year reduction in purchased transportation expense of 53%.”</w:t>
      </w:r>
    </w:p>
    <w:p>
      <w:pPr>
        <w:spacing w:after="0" w:line="39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4" w:name="page5"/>
    <w:bookmarkEnd w:id="4"/>
    <w:p>
      <w:pPr>
        <w:ind w:right="160"/>
        <w:spacing w:after="0" w:line="282" w:lineRule="auto"/>
        <w:rPr>
          <w:sz w:val="20"/>
          <w:szCs w:val="20"/>
          <w:color w:val="auto"/>
        </w:rPr>
      </w:pPr>
      <w:r>
        <w:rPr>
          <w:rFonts w:ascii="Times New Roman" w:cs="Times New Roman" w:eastAsia="Times New Roman" w:hAnsi="Times New Roman"/>
          <w:sz w:val="18"/>
          <w:szCs w:val="18"/>
          <w:color w:val="auto"/>
        </w:rPr>
        <w:t>Harik continued, “Our plan is driving results, with a long runway for margin expansion, supported by superior service and high-return investments in our network. We’re executing to achieve years of outperformance, regardless of the freight market environment.”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Highlights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the first quarter 2025, the company generated revenue of $1.95 billion, compared with $2.02 billion for the same period in 2024. The year-over-year decrease in revenue was due primarily to lower fuel surcharge revenue in the North American LTL segment</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Operating income was $151 million for the first quarter, compared with $138 million for the same period in 2024. Net income was $69 million for the first quarter, compared with $67 million for the same period in 2024. Diluted earnings per share was $0.58 for the first quarter, compared with $0.56 for the same period in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net income, a non-GAAP financial measure, was $87 million for the first quarter, compared with $97 million for the same period in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diluted EPS, a non-GAAP financial measure, was $0.73 for the first quarter, compared with $0.81 for the same period in 2024.</w:t>
      </w:r>
    </w:p>
    <w:p>
      <w:pPr>
        <w:spacing w:after="0" w:line="20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Adjusted earnings before interest, taxes, depreciation and amortization (“adjusted EBITDA”), a non-GAAP financial measure, was $278 million for the first quarter, compared with $288 million for the same period in 2024.</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generated $142 million of cash flow from operating activities in the first quarter and ended the quarter with $212 million of cash and cash equivalents on hand, after $191 million of net capital expenditures.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by Business Segment</w:t>
      </w:r>
    </w:p>
    <w:p>
      <w:pPr>
        <w:spacing w:after="0" w:line="227" w:lineRule="exact"/>
        <w:rPr>
          <w:sz w:val="20"/>
          <w:szCs w:val="20"/>
          <w:color w:val="auto"/>
        </w:rPr>
      </w:pPr>
    </w:p>
    <w:p>
      <w:pPr>
        <w:jc w:val="both"/>
        <w:ind w:left="660" w:right="320" w:hanging="328"/>
        <w:spacing w:after="0" w:line="26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North American Less-Than-Truckload (LTL): </w:t>
      </w:r>
      <w:r>
        <w:rPr>
          <w:rFonts w:ascii="Times New Roman" w:cs="Times New Roman" w:eastAsia="Times New Roman" w:hAnsi="Times New Roman"/>
          <w:sz w:val="18"/>
          <w:szCs w:val="18"/>
          <w:color w:val="auto"/>
        </w:rPr>
        <w:t>The segment generated revenue of $1.17 billion for the first quarter 2025, compared with $1.22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for the same period in 2024. On a year-over-year basis, shipments per day decreased 5.8%, tonnage per day decreased 7.5%, and yield, excluding fuel, increased 6.9%. Including fuel, yield increased 4.5%.</w:t>
      </w:r>
    </w:p>
    <w:p>
      <w:pPr>
        <w:spacing w:after="0" w:line="175" w:lineRule="exact"/>
        <w:rPr>
          <w:rFonts w:ascii="Times New Roman" w:cs="Times New Roman" w:eastAsia="Times New Roman" w:hAnsi="Times New Roman"/>
          <w:sz w:val="18"/>
          <w:szCs w:val="18"/>
          <w:color w:val="auto"/>
        </w:rPr>
      </w:pPr>
    </w:p>
    <w:p>
      <w:pPr>
        <w:ind w:left="66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$158 million for the first quarter 2025, compared with $165 million for the same period in 2024. Adjusted operating income, a non-GAAP financial measure, was $165 million for the first quarter, compared with $175 million for the same period in 2024. Adjusted operating ratio, a non-GAAP financial measure, was 85.9%, reflecting a sequential improvement of 30 basis points, compared with the fourth quarter in 2024.</w:t>
      </w:r>
    </w:p>
    <w:p>
      <w:pPr>
        <w:spacing w:after="0" w:line="179" w:lineRule="exact"/>
        <w:rPr>
          <w:rFonts w:ascii="Times New Roman" w:cs="Times New Roman" w:eastAsia="Times New Roman" w:hAnsi="Times New Roman"/>
          <w:sz w:val="18"/>
          <w:szCs w:val="18"/>
          <w:color w:val="auto"/>
        </w:rPr>
      </w:pPr>
    </w:p>
    <w:p>
      <w:pPr>
        <w:ind w:left="660"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for the first quarter 2025 was $250 million, compared with $255 million for the same period in 2024. The year-over-year reduction in adjusted EBITDA was due primarily to lower fuel surcharge revenue, lower tonnage per day, and wage inflation, partially offset by yield growth and productivity gains.</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 w:name="page6"/>
    <w:bookmarkEnd w:id="5"/>
    <w:p>
      <w:pPr>
        <w:ind w:left="660" w:right="280" w:hanging="328"/>
        <w:spacing w:after="0" w:line="315"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European Transportation: </w:t>
      </w:r>
      <w:r>
        <w:rPr>
          <w:rFonts w:ascii="Times New Roman" w:cs="Times New Roman" w:eastAsia="Times New Roman" w:hAnsi="Times New Roman"/>
          <w:sz w:val="17"/>
          <w:szCs w:val="17"/>
          <w:color w:val="auto"/>
        </w:rPr>
        <w:t>The segment generated revenue of $782 million for the first quarter 2025, compared with $797 million for the same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 in 2024. Operating income was $1 million for the first quarter 2025, compared with a loss of $4 million for the same period in 2024.</w:t>
      </w:r>
    </w:p>
    <w:p>
      <w:pPr>
        <w:spacing w:after="0" w:line="136"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Adjusted EBITDA was $32 million for the first quarter 2025, compared with $38 million for the same period in 2024.</w:t>
      </w:r>
    </w:p>
    <w:p>
      <w:pPr>
        <w:spacing w:after="0" w:line="223" w:lineRule="exact"/>
        <w:rPr>
          <w:rFonts w:ascii="Times New Roman" w:cs="Times New Roman" w:eastAsia="Times New Roman" w:hAnsi="Times New Roman"/>
          <w:sz w:val="17"/>
          <w:szCs w:val="17"/>
          <w:color w:val="auto"/>
        </w:rPr>
      </w:pPr>
    </w:p>
    <w:p>
      <w:pPr>
        <w:jc w:val="both"/>
        <w:ind w:left="660" w:right="340" w:hanging="328"/>
        <w:spacing w:after="0" w:line="26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w:t>
      </w:r>
      <w:r>
        <w:rPr>
          <w:rFonts w:ascii="Times New Roman" w:cs="Times New Roman" w:eastAsia="Times New Roman" w:hAnsi="Times New Roman"/>
          <w:sz w:val="18"/>
          <w:szCs w:val="18"/>
          <w:color w:val="auto"/>
        </w:rPr>
        <w:t>The segment generated an operating loss of $9 million for the first quarter 2025, compared with a loss of $23 million for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2024. The year-over-year improvement in operating loss was due primarily to a $10 million reduction in transaction and integration costs.</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a loss of $4 million for the first quarter 2025, compared with a loss of $5 million for the same period in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company will hold a conference call on Wednesday, April 30, 2025, at 8:30 a.m. Eastern Time. Participants can call toll-free (from US/Canada) 1-877-269-7756; international callers dial +1-201-689-7817. A live webcast of the conference will be available on the investor relations area of the company’s website, </w:t>
      </w:r>
      <w:r>
        <w:rPr>
          <w:rFonts w:ascii="Times New Roman" w:cs="Times New Roman" w:eastAsia="Times New Roman" w:hAnsi="Times New Roman"/>
          <w:sz w:val="18"/>
          <w:szCs w:val="18"/>
          <w:u w:val="single" w:color="auto"/>
          <w:color w:val="auto"/>
        </w:rPr>
        <w:t>xpo.com/investors</w:t>
      </w:r>
      <w:r>
        <w:rPr>
          <w:rFonts w:ascii="Times New Roman" w:cs="Times New Roman" w:eastAsia="Times New Roman" w:hAnsi="Times New Roman"/>
          <w:sz w:val="18"/>
          <w:szCs w:val="18"/>
          <w:color w:val="auto"/>
        </w:rPr>
        <w:t>. The conference will be archived until May 30, 2025. To access the replay by phone, call toll-free (from US/Canada) 1-877-660-6853; international callers dial +1-201-612-7415. Use participant passcode 13753296.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XPO</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XPO, Inc. (NYSE: XPO) is a leader in asset-based less-than-truckload (LTL) freight transportation in North America. The company’s customer-focused organization efficiently moves 17 billion pounds of freight per year, enabled by its proprietary technology. XPO serves approximately 55,000 customers with 606 locations and 38,000 employees in North America and Europe, and is headquartered in Greenwich, Conn., USA. Visit </w:t>
      </w:r>
      <w:r>
        <w:rPr>
          <w:rFonts w:ascii="Times New Roman" w:cs="Times New Roman" w:eastAsia="Times New Roman" w:hAnsi="Times New Roman"/>
          <w:sz w:val="18"/>
          <w:szCs w:val="18"/>
          <w:u w:val="single" w:color="auto"/>
          <w:color w:val="auto"/>
        </w:rPr>
        <w:t>xpo.com</w:t>
      </w:r>
      <w:r>
        <w:rPr>
          <w:rFonts w:ascii="Times New Roman" w:cs="Times New Roman" w:eastAsia="Times New Roman" w:hAnsi="Times New Roman"/>
          <w:sz w:val="18"/>
          <w:szCs w:val="18"/>
          <w:color w:val="auto"/>
        </w:rPr>
        <w:t xml:space="preserve"> for more information, and connect with XPO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required by the rules of the Securities and Exchange Commission (“SEC”), we provide reconciliations of the non-GAAP financial measures contained in this press release to the most directly comparable measure under GAAP, which are set forth in the financial tables attached to this press release.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XPO’s non-GAAP financial measures in this press release include: adjusted earnings before interest, taxes, depreciation and amortization (“adjusted EBITDA”) on a consolidated basis and for corporate; adjusted EBITDA margin on a consolidated basis; adjusted net income; adjusted diluted earnings per share (“adjusted diluted EPS”); adjusted operating income for our North American Less-Than-Truckload and European Transportation segments; and adjusted operating ratio for our North American Less-Than-Truckload segment.</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2" w:right="379" w:bottom="1440" w:gutter="0" w:footer="0" w:header="0"/>
        </w:sectPr>
      </w:pPr>
    </w:p>
    <w:bookmarkStart w:id="6" w:name="page7"/>
    <w:bookmarkEnd w:id="6"/>
    <w:p>
      <w:pPr>
        <w:ind w:right="200"/>
        <w:spacing w:after="0" w:line="258" w:lineRule="auto"/>
        <w:rPr>
          <w:sz w:val="20"/>
          <w:szCs w:val="20"/>
          <w:color w:val="auto"/>
        </w:rPr>
      </w:pPr>
      <w:r>
        <w:rPr>
          <w:rFonts w:ascii="Times New Roman" w:cs="Times New Roman" w:eastAsia="Times New Roman" w:hAnsi="Times New Roman"/>
          <w:sz w:val="18"/>
          <w:szCs w:val="18"/>
          <w:color w:val="auto"/>
        </w:rPr>
        <w:t>We believe that the above adjusted financial measures facilitate analysis of our ongoing business operations because they exclude items that may not be reflective of, or are unrelated to, XPO and its business segments’ core operating performance, and may assist investors with comparisons to prior periods and assessing trends in our underlying businesses. Other companies may calculate these non-GAAP financial measures differently, and therefore our measures may not be comparable to similarly titled measures of other companies. These non-GAAP financial measures should only be used as supplemental measures of our operating performance.</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Adjusted EBITDA, adjusted EBITDA margin, adjusted net income, adjusted diluted EPS, adjusted operating income and adjusted operating ratio include adjustments for transaction and integration costs, as well as restructuring costs and other adjustments as set forth in the attached tables. Transaction and integration adjustments are generally incremental costs that result from an actual or planned acquisition, divestiture or spin-off and may include transaction costs, consulting fees, stock-based compensation, retention awards, internal salaries and wages (to the extent the individuals are assigned full-time to integration and transformation activities) and certain costs related to integrating and converging IT systems. Restructuring costs primarily relate to severance costs associated with business optimization initiatives. Management uses these non-GAAP financial measures in making financial, operating and planning decisions and evaluating XPO’s and each business segment’s ongoing performance.</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believe that adjusted EBITDA and adjusted EBITDA margin, improve comparability from period to period by removing the impact of our capital structure (interest and financing expenses), asset base (depreciation and amortization), tax impacts and other adjustments as set out in the attached tables that management has determined are not reflective of core operating activities and thereby assist investors with assessing trends in our underlying businesses. We believe that adjusted net income and adjusted diluted EPS improve the comparability of our operating results from period to period by removing the impact of certain costs and gains that management has determined are not reflective of our core operating activities, including amortization of acquisition-related intangible assets, transaction and integration costs, restructuring costs and other adjustments as set out in the attached tables. We believe that adjusted operating income and adjusted operating ratio improve the comparability of our operating results from period to period by removing the impact of certain transaction and integration costs and restructuring costs, as well as amortization expenses and other adjustments as set out in the attached tables.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i w:val="1"/>
          <w:iCs w:val="1"/>
          <w:color w:val="auto"/>
        </w:rPr>
        <w:t>This release includes forward-looking statements within the meaning of Section 27A of the Securities Act of 1933, as amended, and Section 21E of the Securities Exchange Act of 1934, as amended.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These forward-looking statements are based on certain assumptions and analyses made by us in light of our experience and our perception of historical trends, current conditions and expected future developments, as well as other factors we believe are appropriate in the circumstances.</w:t>
      </w:r>
    </w:p>
    <w:p>
      <w:pPr>
        <w:spacing w:after="0" w:line="200" w:lineRule="exact"/>
        <w:rPr>
          <w:sz w:val="20"/>
          <w:szCs w:val="20"/>
          <w:color w:val="auto"/>
        </w:rPr>
      </w:pPr>
    </w:p>
    <w:p>
      <w:pPr>
        <w:spacing w:after="0" w:line="201"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 w:name="page8"/>
    <w:bookmarkEnd w:id="7"/>
    <w:p>
      <w:pPr>
        <w:spacing w:after="0" w:line="268" w:lineRule="auto"/>
        <w:rPr>
          <w:sz w:val="20"/>
          <w:szCs w:val="20"/>
          <w:color w:val="auto"/>
        </w:rPr>
      </w:pPr>
      <w:r>
        <w:rPr>
          <w:rFonts w:ascii="Times New Roman" w:cs="Times New Roman" w:eastAsia="Times New Roman" w:hAnsi="Times New Roman"/>
          <w:sz w:val="17"/>
          <w:szCs w:val="17"/>
          <w:i w:val="1"/>
          <w:iCs w:val="1"/>
          <w:color w:val="auto"/>
        </w:rPr>
        <w:t>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the risks discussed in our filings with the SEC, and the following: the effects of business, economic, political, legal, and regulatory impacts or conflicts upon our operations; supply chain disruptions and shortages, strains on production or extraction of raw materials, cost inflation and labor and equipment shortages; our ability to align our investments in capital assets, including equipment, service centers, and warehouses to our customers’ demands; our ability to implement our cost and revenue initiatives and realize growth and expansion as a result of those initiatives; the effectiveness of our action plan, and other management actions, to improve our North American LTL business; our ability to continue insourcing linehaul in ways that enhance our network efficiency and productivity; the anticipated impact of a freight market recovery on our business; our ability to benefit from a sale, spin-off or other divestiture of one or more business units or to successfully integrate and realize anticipated synergies, cost savings and profit opportunities from acquired companies; goodwill impairment; issues related to compliance with data protection laws, competition laws, and intellectual property laws; fluctuations in currency exchange rates, fuel prices and fuel surcharges; the expected benefits of the spin-offs of GXO Logistics, Inc. and RXO, Inc.; our ability to develop and implement proprietary technology and suitable information technology systems; the impact of potential cyber-attacks and information technology or data security breaches or failures; our ability to repurchase shares on favorable terms; our indebtedness; our ability to raise debt and equity capital; fluctuations in interest rates; seasonal fluctuations; our ability to maintain positive relationships with our network of third-party transportation providers; our ability to attract and retain management talent and key employees including qualified drivers; labor matters; litigation; competition; and our ability to deliver pricing growth driven by service quality.</w:t>
      </w:r>
    </w:p>
    <w:p>
      <w:pPr>
        <w:spacing w:after="0" w:line="1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All forward-looking statements set forth in this release are qualified by these cautionary statements and there can be no assurance that the actual results or developments anticipated by us will be realized or, even if substantially realized, that they will have the expected consequences to or effects on us or our business or operations. Forward-looking statements set forth in this release speak only as of the date hereof, and we do not undertake any obligation to update forward-looking statements except to the extent required by law.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Scasserra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+1 617-607-6429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brian.scasserra@xpo.com</w:t>
      </w:r>
    </w:p>
    <w:p>
      <w:pPr>
        <w:spacing w:after="0" w:line="200" w:lineRule="exact"/>
        <w:rPr>
          <w:sz w:val="20"/>
          <w:szCs w:val="20"/>
          <w:color w:val="auto"/>
        </w:rPr>
      </w:pPr>
    </w:p>
    <w:p>
      <w:pPr>
        <w:spacing w:after="0" w:line="223"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Cole Horton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+1 203-609-6004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cole.horton@xpo.com</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1,954</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2,018</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Salaries, wages and employee benefits</w:t>
            </w: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832</w:t>
            </w:r>
          </w:p>
        </w:tc>
        <w:tc>
          <w:tcPr>
            <w:tcW w:w="8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Purchased transportation</w:t>
            </w: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399</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Fuel, operating expenses and supplies</w:t>
            </w: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393</w:t>
            </w:r>
          </w:p>
        </w:tc>
        <w:tc>
          <w:tcPr>
            <w:tcW w:w="8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taxes and licenses</w:t>
            </w: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Insurance and claims</w:t>
            </w: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8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Gains on sales of property and equipment</w:t>
            </w: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123</w:t>
            </w:r>
          </w:p>
        </w:tc>
        <w:tc>
          <w:tcPr>
            <w:tcW w:w="8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340"/>
              <w:spacing w:after="0" w:line="256" w:lineRule="exact"/>
              <w:rPr>
                <w:sz w:val="20"/>
                <w:szCs w:val="20"/>
                <w:color w:val="auto"/>
              </w:rPr>
            </w:pPr>
            <w:r>
              <w:rPr>
                <w:rFonts w:ascii="Times New Roman" w:cs="Times New Roman" w:eastAsia="Times New Roman" w:hAnsi="Times New Roman"/>
                <w:sz w:val="18"/>
                <w:szCs w:val="18"/>
                <w:color w:val="auto"/>
              </w:rPr>
              <w:t xml:space="preserve">Legal matter </w:t>
            </w:r>
            <w:r>
              <w:rPr>
                <w:rFonts w:ascii="Times New Roman" w:cs="Times New Roman" w:eastAsia="Times New Roman" w:hAnsi="Times New Roman"/>
                <w:sz w:val="29"/>
                <w:szCs w:val="29"/>
                <w:color w:val="auto"/>
                <w:vertAlign w:val="superscript"/>
              </w:rPr>
              <w:t>(1)</w:t>
            </w:r>
          </w:p>
        </w:tc>
        <w:tc>
          <w:tcPr>
            <w:tcW w:w="1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costs</w:t>
            </w: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09"/>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4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6"/>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Debt extinguishment loss</w:t>
            </w: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8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8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 provision</w:t>
            </w:r>
          </w:p>
        </w:tc>
        <w:tc>
          <w:tcPr>
            <w:tcW w:w="1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2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vMerge w:val="continue"/>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provision</w:t>
            </w: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8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63"/>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4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7"/>
        </w:trPr>
        <w:tc>
          <w:tcPr>
            <w:tcW w:w="57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 data</w:t>
            </w: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4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0.59</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0.58</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4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0.58</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0.56</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Diluted weighted-average common shares outstanding </w:t>
            </w:r>
            <w:r>
              <w:rPr>
                <w:rFonts w:ascii="Times New Roman" w:cs="Times New Roman" w:eastAsia="Times New Roman" w:hAnsi="Times New Roman"/>
                <w:sz w:val="29"/>
                <w:szCs w:val="29"/>
                <w:color w:val="auto"/>
                <w:vertAlign w:val="superscript"/>
              </w:rPr>
              <w:t>(2)</w:t>
            </w: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120</w:t>
            </w:r>
          </w:p>
        </w:tc>
        <w:tc>
          <w:tcPr>
            <w:tcW w:w="8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31" w:lineRule="exact"/>
        <w:rPr>
          <w:sz w:val="20"/>
          <w:szCs w:val="20"/>
          <w:color w:val="auto"/>
        </w:rPr>
      </w:pPr>
    </w:p>
    <w:p>
      <w:pPr>
        <w:ind w:right="380" w:firstLine="8"/>
        <w:spacing w:after="0"/>
        <w:tabs>
          <w:tab w:leader="none" w:pos="212" w:val="left"/>
        </w:tabs>
        <w:numPr>
          <w:ilvl w:val="0"/>
          <w:numId w:val="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Reflects the settlement of claims against certain truck manufacturers related to purchases by our European Transportation segment covering periods prior to 2015.</w:t>
      </w:r>
    </w:p>
    <w:p>
      <w:pPr>
        <w:spacing w:after="0" w:line="173" w:lineRule="exact"/>
        <w:rPr>
          <w:rFonts w:ascii="Times New Roman" w:cs="Times New Roman" w:eastAsia="Times New Roman" w:hAnsi="Times New Roman"/>
          <w:sz w:val="26"/>
          <w:szCs w:val="26"/>
          <w:color w:val="auto"/>
          <w:vertAlign w:val="superscript"/>
        </w:rPr>
      </w:pPr>
    </w:p>
    <w:p>
      <w:pPr>
        <w:ind w:right="340" w:firstLine="8"/>
        <w:spacing w:after="0" w:line="223" w:lineRule="auto"/>
        <w:tabs>
          <w:tab w:leader="none" w:pos="217" w:val="left"/>
        </w:tabs>
        <w:numPr>
          <w:ilvl w:val="0"/>
          <w:numId w:val="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The dilutive effect of stock-based awards for the first quarter of 2025 was 2 million, compared with 4 million for the same period in 2024. The year-over-year decrease is primarily driven by recent significant vest events.</w:t>
      </w:r>
    </w:p>
    <w:p>
      <w:pPr>
        <w:spacing w:after="0" w:line="200" w:lineRule="exact"/>
        <w:rPr>
          <w:sz w:val="20"/>
          <w:szCs w:val="20"/>
          <w:color w:val="auto"/>
        </w:rPr>
      </w:pPr>
    </w:p>
    <w:p>
      <w:pPr>
        <w:spacing w:after="0" w:line="215"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80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8000" w:type="dxa"/>
            <w:vAlign w:val="bottom"/>
            <w:shd w:val="clear" w:color="auto" w:fill="CCEEFF"/>
          </w:tcPr>
          <w:p>
            <w:pPr>
              <w:ind w:left="38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allowances of $49 and $50, respectively</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977</w:t>
            </w:r>
          </w:p>
        </w:tc>
      </w:tr>
      <w:tr>
        <w:trPr>
          <w:trHeight w:val="22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r>
      <w:tr>
        <w:trPr>
          <w:trHeight w:val="209"/>
        </w:trPr>
        <w:tc>
          <w:tcPr>
            <w:tcW w:w="80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Borders>
              <w:bottom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 of $2,113 and $2,019 in accumulated depreciation, respectively</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assets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Identifiable intangible assets, net of $521 and $499 in accumulated amortization, respectively</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w:t>
            </w:r>
          </w:p>
        </w:tc>
      </w:tr>
      <w:tr>
        <w:trPr>
          <w:trHeight w:val="22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long-term assets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r>
      <w:tr>
        <w:trPr>
          <w:trHeight w:val="209"/>
        </w:trPr>
        <w:tc>
          <w:tcPr>
            <w:tcW w:w="80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long-term assets</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80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7,879</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100" w:type="dxa"/>
            <w:vAlign w:val="bottom"/>
            <w:tcBorders>
              <w:bottom w:val="single" w:sz="8" w:color="CCEEFF"/>
            </w:tcBorders>
          </w:tcPr>
          <w:p>
            <w:pPr>
              <w:spacing w:after="0"/>
              <w:rPr>
                <w:sz w:val="22"/>
                <w:szCs w:val="22"/>
                <w:color w:val="auto"/>
              </w:rPr>
            </w:pPr>
          </w:p>
        </w:tc>
      </w:tr>
      <w:tr>
        <w:trPr>
          <w:trHeight w:val="197"/>
        </w:trPr>
        <w:tc>
          <w:tcPr>
            <w:tcW w:w="8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borrowings and current maturities of long-term debt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10"/>
        </w:trPr>
        <w:tc>
          <w:tcPr>
            <w:tcW w:w="80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 liability</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Employee benefit obligations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w:t>
            </w:r>
          </w:p>
        </w:tc>
      </w:tr>
      <w:tr>
        <w:trPr>
          <w:trHeight w:val="23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r>
      <w:tr>
        <w:trPr>
          <w:trHeight w:val="210"/>
        </w:trPr>
        <w:tc>
          <w:tcPr>
            <w:tcW w:w="80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4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100" w:type="dxa"/>
            <w:vAlign w:val="bottom"/>
            <w:tcBorders>
              <w:bottom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$0.001 par value; 300 shares authorized; 118 and 117 shares issued and outstanding</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March 31, 2025 and December 31, 2024, respectively</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r>
      <w:tr>
        <w:trPr>
          <w:trHeight w:val="23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w:t>
            </w:r>
          </w:p>
        </w:tc>
      </w:tr>
      <w:tr>
        <w:trPr>
          <w:trHeight w:val="210"/>
        </w:trPr>
        <w:tc>
          <w:tcPr>
            <w:tcW w:w="80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4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Borders>
              <w:bottom w:val="single" w:sz="8" w:color="CCEEFF"/>
            </w:tcBorders>
          </w:tcPr>
          <w:p>
            <w:pPr>
              <w:spacing w:after="0"/>
              <w:rPr>
                <w:sz w:val="18"/>
                <w:szCs w:val="18"/>
                <w:color w:val="auto"/>
              </w:rPr>
            </w:pPr>
          </w:p>
        </w:tc>
      </w:tr>
      <w:tr>
        <w:trPr>
          <w:trHeight w:val="223"/>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4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200" w:lineRule="exact"/>
        <w:rPr>
          <w:sz w:val="20"/>
          <w:szCs w:val="20"/>
          <w:color w:val="auto"/>
        </w:rPr>
      </w:pPr>
    </w:p>
    <w:p>
      <w:pPr>
        <w:spacing w:after="0" w:line="241"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320" w:type="dxa"/>
            <w:vAlign w:val="bottom"/>
            <w:gridSpan w:val="5"/>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70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49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0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8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w:t>
            </w:r>
          </w:p>
        </w:tc>
        <w:tc>
          <w:tcPr>
            <w:tcW w:w="860" w:type="dxa"/>
            <w:vAlign w:val="bottom"/>
            <w:gridSpan w:val="2"/>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from operating activities</w:t>
            </w:r>
          </w:p>
        </w:tc>
        <w:tc>
          <w:tcPr>
            <w:tcW w:w="1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8"/>
                <w:szCs w:val="18"/>
                <w:color w:val="auto"/>
              </w:rPr>
            </w:pPr>
          </w:p>
        </w:tc>
      </w:tr>
      <w:tr>
        <w:trPr>
          <w:trHeight w:val="216"/>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r>
      <w:tr>
        <w:trPr>
          <w:trHeight w:val="216"/>
        </w:trPr>
        <w:tc>
          <w:tcPr>
            <w:tcW w:w="7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Accretion of debt</w:t>
            </w:r>
          </w:p>
        </w:tc>
        <w:tc>
          <w:tcPr>
            <w:tcW w:w="1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r>
      <w:tr>
        <w:trPr>
          <w:trHeight w:val="216"/>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expense</w:t>
            </w:r>
          </w:p>
        </w:tc>
        <w:tc>
          <w:tcPr>
            <w:tcW w:w="1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r>
      <w:tr>
        <w:trPr>
          <w:trHeight w:val="216"/>
        </w:trPr>
        <w:tc>
          <w:tcPr>
            <w:tcW w:w="7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Gains on sales of property and equipment</w:t>
            </w:r>
          </w:p>
        </w:tc>
        <w:tc>
          <w:tcPr>
            <w:tcW w:w="1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1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7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r>
      <w:tr>
        <w:trPr>
          <w:trHeight w:val="229"/>
        </w:trPr>
        <w:tc>
          <w:tcPr>
            <w:tcW w:w="7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for purchases of property and equipment</w:t>
            </w:r>
          </w:p>
        </w:tc>
        <w:tc>
          <w:tcPr>
            <w:tcW w:w="1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w:t>
            </w:r>
          </w:p>
        </w:tc>
      </w:tr>
      <w:tr>
        <w:trPr>
          <w:trHeight w:val="230"/>
        </w:trPr>
        <w:tc>
          <w:tcPr>
            <w:tcW w:w="7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 of debt and finance leases</w:t>
            </w:r>
          </w:p>
        </w:tc>
        <w:tc>
          <w:tcPr>
            <w:tcW w:w="1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for debt issuance costs</w:t>
            </w:r>
          </w:p>
        </w:tc>
        <w:tc>
          <w:tcPr>
            <w:tcW w:w="1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bank overdrafts</w:t>
            </w:r>
          </w:p>
        </w:tc>
        <w:tc>
          <w:tcPr>
            <w:tcW w:w="1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r>
      <w:tr>
        <w:trPr>
          <w:trHeight w:val="216"/>
        </w:trPr>
        <w:tc>
          <w:tcPr>
            <w:tcW w:w="7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for tax withholdings for restricted shares</w:t>
            </w:r>
          </w:p>
        </w:tc>
        <w:tc>
          <w:tcPr>
            <w:tcW w:w="1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42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 cash equivalents and restricted cash</w:t>
            </w:r>
          </w:p>
        </w:tc>
        <w:tc>
          <w:tcPr>
            <w:tcW w:w="14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1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(183)</w:t>
            </w:r>
          </w:p>
        </w:tc>
        <w:tc>
          <w:tcPr>
            <w:tcW w:w="100" w:type="dxa"/>
            <w:vAlign w:val="bottom"/>
            <w:gridSpan w:val="2"/>
          </w:tcPr>
          <w:p>
            <w:pPr>
              <w:spacing w:after="0"/>
              <w:rPr>
                <w:sz w:val="18"/>
                <w:szCs w:val="18"/>
                <w:color w:val="auto"/>
              </w:rPr>
            </w:pPr>
          </w:p>
        </w:tc>
      </w:tr>
      <w:tr>
        <w:trPr>
          <w:trHeight w:val="23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period</w:t>
            </w:r>
          </w:p>
        </w:tc>
        <w:tc>
          <w:tcPr>
            <w:tcW w:w="1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298</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shd w:val="clear" w:color="auto" w:fill="CCEEFF"/>
          </w:tcPr>
          <w:p>
            <w:pPr>
              <w:spacing w:after="0"/>
              <w:rPr>
                <w:sz w:val="19"/>
                <w:szCs w:val="19"/>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14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200" w:lineRule="exact"/>
        <w:rPr>
          <w:sz w:val="20"/>
          <w:szCs w:val="20"/>
          <w:color w:val="auto"/>
        </w:rPr>
      </w:pPr>
    </w:p>
    <w:p>
      <w:pPr>
        <w:spacing w:after="0" w:line="241"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North American Less-Than-Truckload Segment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Financial Table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580" w:type="dxa"/>
            <w:vAlign w:val="bottom"/>
            <w:gridSpan w:val="7"/>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 (excluding fuel surcharge revenue)</w:t>
            </w: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1,011</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Fuel surcharge revenue</w:t>
            </w:r>
          </w:p>
        </w:tc>
        <w:tc>
          <w:tcPr>
            <w:tcW w:w="1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178</w:t>
            </w:r>
          </w:p>
        </w:tc>
        <w:tc>
          <w:tcPr>
            <w:tcW w:w="800" w:type="dxa"/>
            <w:vAlign w:val="bottom"/>
          </w:tcPr>
          <w:p>
            <w:pPr>
              <w:spacing w:after="0"/>
              <w:rPr>
                <w:sz w:val="19"/>
                <w:szCs w:val="19"/>
                <w:color w:val="auto"/>
              </w:rPr>
            </w:pPr>
          </w:p>
        </w:tc>
        <w:tc>
          <w:tcPr>
            <w:tcW w:w="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210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5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vMerge w:val="continue"/>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1,172</w:t>
            </w:r>
          </w:p>
        </w:tc>
        <w:tc>
          <w:tcPr>
            <w:tcW w:w="28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1,221</w:t>
            </w:r>
          </w:p>
        </w:tc>
        <w:tc>
          <w:tcPr>
            <w:tcW w:w="26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Salaries, wages and employee benefits</w:t>
            </w:r>
          </w:p>
        </w:tc>
        <w:tc>
          <w:tcPr>
            <w:tcW w:w="1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615</w:t>
            </w:r>
          </w:p>
        </w:tc>
        <w:tc>
          <w:tcPr>
            <w:tcW w:w="800" w:type="dxa"/>
            <w:vAlign w:val="bottom"/>
          </w:tcPr>
          <w:p>
            <w:pPr>
              <w:spacing w:after="0"/>
              <w:rPr>
                <w:sz w:val="18"/>
                <w:szCs w:val="18"/>
                <w:color w:val="auto"/>
              </w:rPr>
            </w:pPr>
          </w:p>
        </w:tc>
        <w:tc>
          <w:tcPr>
            <w:tcW w:w="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613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Purchased transportation</w:t>
            </w: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37</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56"/>
        </w:trPr>
        <w:tc>
          <w:tcPr>
            <w:tcW w:w="5380" w:type="dxa"/>
            <w:vAlign w:val="bottom"/>
          </w:tcPr>
          <w:p>
            <w:pPr>
              <w:ind w:left="340"/>
              <w:spacing w:after="0" w:line="256" w:lineRule="exact"/>
              <w:rPr>
                <w:sz w:val="20"/>
                <w:szCs w:val="20"/>
                <w:color w:val="auto"/>
              </w:rPr>
            </w:pPr>
            <w:r>
              <w:rPr>
                <w:rFonts w:ascii="Times New Roman" w:cs="Times New Roman" w:eastAsia="Times New Roman" w:hAnsi="Times New Roman"/>
                <w:sz w:val="18"/>
                <w:szCs w:val="18"/>
                <w:color w:val="auto"/>
              </w:rPr>
              <w:t xml:space="preserve">Fuel, operating expenses and supplies </w:t>
            </w:r>
            <w:r>
              <w:rPr>
                <w:rFonts w:ascii="Times New Roman" w:cs="Times New Roman" w:eastAsia="Times New Roman" w:hAnsi="Times New Roman"/>
                <w:sz w:val="29"/>
                <w:szCs w:val="29"/>
                <w:color w:val="auto"/>
                <w:vertAlign w:val="superscript"/>
              </w:rPr>
              <w:t>(1)</w:t>
            </w:r>
          </w:p>
        </w:tc>
        <w:tc>
          <w:tcPr>
            <w:tcW w:w="1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232</w:t>
            </w:r>
          </w:p>
        </w:tc>
        <w:tc>
          <w:tcPr>
            <w:tcW w:w="800" w:type="dxa"/>
            <w:vAlign w:val="bottom"/>
          </w:tcPr>
          <w:p>
            <w:pPr>
              <w:spacing w:after="0"/>
              <w:rPr>
                <w:sz w:val="22"/>
                <w:szCs w:val="22"/>
                <w:color w:val="auto"/>
              </w:rPr>
            </w:pPr>
          </w:p>
        </w:tc>
        <w:tc>
          <w:tcPr>
            <w:tcW w:w="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243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taxes and licenses</w:t>
            </w: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Insurance and claims</w:t>
            </w:r>
          </w:p>
        </w:tc>
        <w:tc>
          <w:tcPr>
            <w:tcW w:w="1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24</w:t>
            </w:r>
          </w:p>
        </w:tc>
        <w:tc>
          <w:tcPr>
            <w:tcW w:w="800" w:type="dxa"/>
            <w:vAlign w:val="bottom"/>
          </w:tcPr>
          <w:p>
            <w:pPr>
              <w:spacing w:after="0"/>
              <w:rPr>
                <w:sz w:val="18"/>
                <w:szCs w:val="18"/>
                <w:color w:val="auto"/>
              </w:rPr>
            </w:pPr>
          </w:p>
        </w:tc>
        <w:tc>
          <w:tcPr>
            <w:tcW w:w="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(Gains) losses on sales of property and equipment</w:t>
            </w: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90</w:t>
            </w:r>
          </w:p>
        </w:tc>
        <w:tc>
          <w:tcPr>
            <w:tcW w:w="800" w:type="dxa"/>
            <w:vAlign w:val="bottom"/>
          </w:tcPr>
          <w:p>
            <w:pPr>
              <w:spacing w:after="0"/>
              <w:rPr>
                <w:sz w:val="19"/>
                <w:szCs w:val="19"/>
                <w:color w:val="auto"/>
              </w:rPr>
            </w:pPr>
          </w:p>
        </w:tc>
        <w:tc>
          <w:tcPr>
            <w:tcW w:w="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50"/>
        </w:trPr>
        <w:tc>
          <w:tcPr>
            <w:tcW w:w="5380" w:type="dxa"/>
            <w:vAlign w:val="bottom"/>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 xml:space="preserve">Operating ratio </w:t>
            </w:r>
            <w:r>
              <w:rPr>
                <w:rFonts w:ascii="Times New Roman" w:cs="Times New Roman" w:eastAsia="Times New Roman" w:hAnsi="Times New Roman"/>
                <w:sz w:val="28"/>
                <w:szCs w:val="28"/>
                <w:b w:val="1"/>
                <w:bCs w:val="1"/>
                <w:color w:val="auto"/>
                <w:vertAlign w:val="superscript"/>
              </w:rPr>
              <w:t>(2)</w:t>
            </w:r>
          </w:p>
        </w:tc>
        <w:tc>
          <w:tcPr>
            <w:tcW w:w="1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86.5%</w:t>
            </w:r>
          </w:p>
        </w:tc>
        <w:tc>
          <w:tcPr>
            <w:tcW w:w="800" w:type="dxa"/>
            <w:vAlign w:val="bottom"/>
          </w:tcPr>
          <w:p>
            <w:pPr>
              <w:spacing w:after="0"/>
              <w:rPr>
                <w:sz w:val="21"/>
                <w:szCs w:val="21"/>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86.4%</w:t>
            </w: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expense</w:t>
            </w:r>
          </w:p>
        </w:tc>
        <w:tc>
          <w:tcPr>
            <w:tcW w:w="14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Gains on real estate transactions</w:t>
            </w:r>
          </w:p>
        </w:tc>
        <w:tc>
          <w:tcPr>
            <w:tcW w:w="1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tcPr>
          <w:p>
            <w:pPr>
              <w:spacing w:after="0"/>
              <w:rPr>
                <w:sz w:val="19"/>
                <w:szCs w:val="19"/>
                <w:color w:val="auto"/>
              </w:rPr>
            </w:pPr>
          </w:p>
        </w:tc>
        <w:tc>
          <w:tcPr>
            <w:tcW w:w="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shd w:val="clear" w:color="auto" w:fill="CCEEFF"/>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 xml:space="preserve">Adjusted operating income </w:t>
            </w:r>
            <w:r>
              <w:rPr>
                <w:rFonts w:ascii="Times New Roman" w:cs="Times New Roman" w:eastAsia="Times New Roman" w:hAnsi="Times New Roman"/>
                <w:sz w:val="29"/>
                <w:szCs w:val="29"/>
                <w:b w:val="1"/>
                <w:bCs w:val="1"/>
                <w:color w:val="auto"/>
                <w:vertAlign w:val="superscript"/>
              </w:rPr>
              <w:t>(3)</w:t>
            </w:r>
          </w:p>
        </w:tc>
        <w:tc>
          <w:tcPr>
            <w:tcW w:w="14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380" w:type="dxa"/>
            <w:vAlign w:val="bottom"/>
            <w:vMerge w:val="continue"/>
            <w:shd w:val="clear" w:color="auto" w:fill="CCEEFF"/>
          </w:tcPr>
          <w:p>
            <w:pPr>
              <w:spacing w:after="0"/>
              <w:rPr>
                <w:sz w:val="22"/>
                <w:szCs w:val="22"/>
                <w:color w:val="auto"/>
              </w:rPr>
            </w:pPr>
          </w:p>
        </w:tc>
        <w:tc>
          <w:tcPr>
            <w:tcW w:w="2280" w:type="dxa"/>
            <w:vAlign w:val="bottom"/>
            <w:gridSpan w:val="2"/>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165</w:t>
            </w: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175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spacing w:after="0" w:line="263" w:lineRule="exact"/>
              <w:rPr>
                <w:sz w:val="20"/>
                <w:szCs w:val="20"/>
                <w:color w:val="auto"/>
              </w:rPr>
            </w:pPr>
            <w:r>
              <w:rPr>
                <w:rFonts w:ascii="Times New Roman" w:cs="Times New Roman" w:eastAsia="Times New Roman" w:hAnsi="Times New Roman"/>
                <w:sz w:val="18"/>
                <w:szCs w:val="18"/>
                <w:b w:val="1"/>
                <w:bCs w:val="1"/>
                <w:color w:val="auto"/>
              </w:rPr>
              <w:t xml:space="preserve">Adjusted operating ratio </w:t>
            </w:r>
            <w:r>
              <w:rPr>
                <w:rFonts w:ascii="Times New Roman" w:cs="Times New Roman" w:eastAsia="Times New Roman" w:hAnsi="Times New Roman"/>
                <w:sz w:val="29"/>
                <w:szCs w:val="29"/>
                <w:b w:val="1"/>
                <w:bCs w:val="1"/>
                <w:color w:val="auto"/>
                <w:vertAlign w:val="superscript"/>
              </w:rPr>
              <w:t>(3) (4)</w:t>
            </w:r>
          </w:p>
        </w:tc>
        <w:tc>
          <w:tcPr>
            <w:tcW w:w="14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80" w:type="dxa"/>
            <w:vAlign w:val="bottom"/>
            <w:tcBorders>
              <w:bottom w:val="single" w:sz="8" w:color="CCEEFF"/>
            </w:tcBorders>
            <w:vMerge w:val="continue"/>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2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expense</w:t>
            </w: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income</w:t>
            </w:r>
          </w:p>
        </w:tc>
        <w:tc>
          <w:tcPr>
            <w:tcW w:w="1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tcPr>
          <w:p>
            <w:pPr>
              <w:spacing w:after="0"/>
              <w:rPr>
                <w:sz w:val="18"/>
                <w:szCs w:val="18"/>
                <w:color w:val="auto"/>
              </w:rPr>
            </w:pPr>
          </w:p>
        </w:tc>
        <w:tc>
          <w:tcPr>
            <w:tcW w:w="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Gains on real estate transactions</w:t>
            </w:r>
          </w:p>
        </w:tc>
        <w:tc>
          <w:tcPr>
            <w:tcW w:w="1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29"/>
                <w:szCs w:val="29"/>
                <w:b w:val="1"/>
                <w:bCs w:val="1"/>
                <w:color w:val="auto"/>
                <w:vertAlign w:val="superscript"/>
              </w:rPr>
              <w:t>(5)</w:t>
            </w:r>
          </w:p>
        </w:tc>
        <w:tc>
          <w:tcPr>
            <w:tcW w:w="1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380" w:type="dxa"/>
            <w:vAlign w:val="bottom"/>
            <w:vMerge w:val="continue"/>
          </w:tcPr>
          <w:p>
            <w:pPr>
              <w:spacing w:after="0"/>
              <w:rPr>
                <w:sz w:val="24"/>
                <w:szCs w:val="24"/>
                <w:color w:val="auto"/>
              </w:rPr>
            </w:pPr>
          </w:p>
        </w:tc>
        <w:tc>
          <w:tcPr>
            <w:tcW w:w="2280" w:type="dxa"/>
            <w:vAlign w:val="bottom"/>
            <w:gridSpan w:val="2"/>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250</w:t>
            </w:r>
          </w:p>
        </w:tc>
        <w:tc>
          <w:tcPr>
            <w:tcW w:w="80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255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538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6"/>
                <w:szCs w:val="16"/>
                <w:b w:val="1"/>
                <w:bCs w:val="1"/>
                <w:color w:val="auto"/>
              </w:rPr>
              <w:t xml:space="preserve">Adjusted EBITDA margin </w:t>
            </w:r>
            <w:r>
              <w:rPr>
                <w:rFonts w:ascii="Times New Roman" w:cs="Times New Roman" w:eastAsia="Times New Roman" w:hAnsi="Times New Roman"/>
                <w:sz w:val="25"/>
                <w:szCs w:val="25"/>
                <w:b w:val="1"/>
                <w:bCs w:val="1"/>
                <w:color w:val="auto"/>
                <w:vertAlign w:val="superscript"/>
              </w:rPr>
              <w:t>(5)</w:t>
            </w:r>
          </w:p>
        </w:tc>
        <w:tc>
          <w:tcPr>
            <w:tcW w:w="14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2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may not add due to rounding.</w:t>
      </w:r>
    </w:p>
    <w:p>
      <w:pPr>
        <w:ind w:left="220" w:hanging="212"/>
        <w:spacing w:after="0" w:line="219" w:lineRule="auto"/>
        <w:tabs>
          <w:tab w:leader="none" w:pos="220"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Fuel, operating expenses and supplies includes fuel-related taxes.</w:t>
      </w:r>
    </w:p>
    <w:p>
      <w:pPr>
        <w:spacing w:after="0" w:line="42" w:lineRule="exact"/>
        <w:rPr>
          <w:rFonts w:ascii="Times New Roman" w:cs="Times New Roman" w:eastAsia="Times New Roman" w:hAnsi="Times New Roman"/>
          <w:sz w:val="27"/>
          <w:szCs w:val="27"/>
          <w:color w:val="auto"/>
          <w:vertAlign w:val="superscript"/>
        </w:rPr>
      </w:pPr>
    </w:p>
    <w:p>
      <w:pPr>
        <w:ind w:left="220" w:hanging="212"/>
        <w:spacing w:after="0" w:line="194" w:lineRule="auto"/>
        <w:tabs>
          <w:tab w:leader="none" w:pos="2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Operating ratio is calculated as (1 - (Operating income divided by Revenue)) using the underlying unrounded amounts.</w:t>
      </w:r>
    </w:p>
    <w:p>
      <w:pPr>
        <w:spacing w:after="0" w:line="42" w:lineRule="exact"/>
        <w:rPr>
          <w:rFonts w:ascii="Times New Roman" w:cs="Times New Roman" w:eastAsia="Times New Roman" w:hAnsi="Times New Roman"/>
          <w:sz w:val="23"/>
          <w:szCs w:val="23"/>
          <w:color w:val="auto"/>
          <w:vertAlign w:val="superscript"/>
        </w:rPr>
      </w:pPr>
    </w:p>
    <w:p>
      <w:pPr>
        <w:ind w:left="220" w:hanging="212"/>
        <w:spacing w:after="0" w:line="194" w:lineRule="auto"/>
        <w:tabs>
          <w:tab w:leader="none" w:pos="2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See the “Non-GAAP Financial Measures” section of the press release.</w:t>
      </w:r>
    </w:p>
    <w:p>
      <w:pPr>
        <w:spacing w:after="0" w:line="42" w:lineRule="exact"/>
        <w:rPr>
          <w:rFonts w:ascii="Times New Roman" w:cs="Times New Roman" w:eastAsia="Times New Roman" w:hAnsi="Times New Roman"/>
          <w:sz w:val="23"/>
          <w:szCs w:val="23"/>
          <w:color w:val="auto"/>
          <w:vertAlign w:val="superscript"/>
        </w:rPr>
      </w:pPr>
    </w:p>
    <w:p>
      <w:pPr>
        <w:ind w:right="500" w:firstLine="8"/>
        <w:spacing w:after="0" w:line="224" w:lineRule="auto"/>
        <w:tabs>
          <w:tab w:leader="none" w:pos="21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Adjusted operating ratio is calculated as (1 - (Adjusted operating income divided by Revenue)) using the underlying unrounded amounts; adjusted operating margin is the inverse of adjusted operating ratio.</w:t>
      </w:r>
    </w:p>
    <w:p>
      <w:pPr>
        <w:spacing w:after="0" w:line="23" w:lineRule="exact"/>
        <w:rPr>
          <w:rFonts w:ascii="Times New Roman" w:cs="Times New Roman" w:eastAsia="Times New Roman" w:hAnsi="Times New Roman"/>
          <w:sz w:val="25"/>
          <w:szCs w:val="25"/>
          <w:color w:val="auto"/>
          <w:vertAlign w:val="superscript"/>
        </w:rPr>
      </w:pPr>
    </w:p>
    <w:p>
      <w:pPr>
        <w:ind w:right="420" w:firstLine="8"/>
        <w:spacing w:after="0" w:line="234" w:lineRule="auto"/>
        <w:tabs>
          <w:tab w:leader="none" w:pos="21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Adjusted EBITDA is used by our chief operating decision maker to evaluate segment profit (loss) in accordance with ASC 280. Adjusted EBITDA margin is calculated as Adjusted EBITDA divided by Revenue using the underlying unrounded amounts.</w:t>
      </w:r>
    </w:p>
    <w:p>
      <w:pPr>
        <w:spacing w:after="0" w:line="200" w:lineRule="exact"/>
        <w:rPr>
          <w:sz w:val="20"/>
          <w:szCs w:val="20"/>
          <w:color w:val="auto"/>
        </w:rPr>
      </w:pPr>
    </w:p>
    <w:p>
      <w:pPr>
        <w:spacing w:after="0" w:line="216"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North American Less-Than-Truckload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Data Table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20" w:type="dxa"/>
            <w:vAlign w:val="bottom"/>
            <w:gridSpan w:val="7"/>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58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160" w:type="dxa"/>
            <w:vAlign w:val="bottom"/>
            <w:tcBorders>
              <w:bottom w:val="single" w:sz="8" w:color="CCEEFF"/>
            </w:tcBorders>
          </w:tcPr>
          <w:p>
            <w:pPr>
              <w:spacing w:after="0"/>
              <w:rPr>
                <w:sz w:val="19"/>
                <w:szCs w:val="19"/>
                <w:color w:val="auto"/>
              </w:rPr>
            </w:pPr>
          </w:p>
        </w:tc>
      </w:tr>
      <w:tr>
        <w:trPr>
          <w:trHeight w:val="20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Pounds per day (thousands)</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70,709</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Shipments per day</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48,400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51,392</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5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weight per shipment (in pounds)</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1,352</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1,376</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per shipment (including fuel surcharges)</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384.27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373.88</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5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per shipment (excluding fuel surcharges)</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325.74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309.57</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5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58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revenue per hundredweight (including fuel surcharges) </w:t>
            </w:r>
            <w:r>
              <w:rPr>
                <w:rFonts w:ascii="Times New Roman" w:cs="Times New Roman" w:eastAsia="Times New Roman" w:hAnsi="Times New Roman"/>
                <w:sz w:val="29"/>
                <w:szCs w:val="29"/>
                <w:color w:val="auto"/>
                <w:vertAlign w:val="superscript"/>
              </w:rPr>
              <w:t>(1)</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27.80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58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revenue per hundredweight (excluding fuel surcharges) </w:t>
            </w:r>
            <w:r>
              <w:rPr>
                <w:rFonts w:ascii="Times New Roman" w:cs="Times New Roman" w:eastAsia="Times New Roman" w:hAnsi="Times New Roman"/>
                <w:sz w:val="29"/>
                <w:szCs w:val="29"/>
                <w:color w:val="auto"/>
                <w:vertAlign w:val="superscript"/>
              </w:rPr>
              <w:t>(1)</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23.13</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5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length of haul (in miles)</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845.6</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848.3</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58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Total average load factor </w:t>
            </w:r>
            <w:r>
              <w:rPr>
                <w:rFonts w:ascii="Times New Roman" w:cs="Times New Roman" w:eastAsia="Times New Roman" w:hAnsi="Times New Roman"/>
                <w:sz w:val="29"/>
                <w:szCs w:val="29"/>
                <w:color w:val="auto"/>
                <w:vertAlign w:val="superscript"/>
              </w:rPr>
              <w:t>(2)</w:t>
            </w:r>
          </w:p>
        </w:tc>
        <w:tc>
          <w:tcPr>
            <w:tcW w:w="1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22,434</w:t>
            </w: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22,869</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age of tractor fleet (years)</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working days</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63.5</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65" w:lineRule="exact"/>
        <w:rPr>
          <w:sz w:val="20"/>
          <w:szCs w:val="20"/>
          <w:color w:val="auto"/>
        </w:rPr>
      </w:pPr>
    </w:p>
    <w:p>
      <w:pPr>
        <w:ind w:right="720" w:firstLine="8"/>
        <w:spacing w:after="0" w:line="218" w:lineRule="auto"/>
        <w:tabs>
          <w:tab w:leader="none" w:pos="220"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Gross revenue per hundredweight excludes the adjustment required for financial statement purposes in accordance with the company's revenue recognition policy.</w:t>
      </w:r>
    </w:p>
    <w:p>
      <w:pPr>
        <w:spacing w:after="0" w:line="1" w:lineRule="exact"/>
        <w:rPr>
          <w:rFonts w:ascii="Times New Roman" w:cs="Times New Roman" w:eastAsia="Times New Roman" w:hAnsi="Times New Roman"/>
          <w:sz w:val="27"/>
          <w:szCs w:val="27"/>
          <w:color w:val="auto"/>
          <w:vertAlign w:val="superscript"/>
        </w:rPr>
      </w:pPr>
    </w:p>
    <w:p>
      <w:pPr>
        <w:ind w:left="220" w:hanging="212"/>
        <w:spacing w:after="0" w:line="198" w:lineRule="auto"/>
        <w:tabs>
          <w:tab w:leader="none" w:pos="220"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Total average load factor equals freight pound miles divided by total linehaul miles.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Table excludes the company's trailer manufacturing operations. Percentages presented are calculated using the underlying unrounded amounts.</w:t>
      </w:r>
    </w:p>
    <w:p>
      <w:pPr>
        <w:spacing w:after="0" w:line="200" w:lineRule="exact"/>
        <w:rPr>
          <w:sz w:val="20"/>
          <w:szCs w:val="20"/>
          <w:color w:val="auto"/>
        </w:rPr>
      </w:pPr>
    </w:p>
    <w:p>
      <w:pPr>
        <w:spacing w:after="0" w:line="241"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European Transportation Segment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Financial Table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540" w:type="dxa"/>
            <w:vAlign w:val="bottom"/>
            <w:gridSpan w:val="7"/>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Salaries, wages and employee benefits</w:t>
            </w:r>
          </w:p>
        </w:tc>
        <w:tc>
          <w:tcPr>
            <w:tcW w:w="84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212</w:t>
            </w:r>
          </w:p>
        </w:tc>
        <w:tc>
          <w:tcPr>
            <w:tcW w:w="8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Purchased transportation</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363</w:t>
            </w:r>
          </w:p>
        </w:tc>
        <w:tc>
          <w:tcPr>
            <w:tcW w:w="8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57"/>
        </w:trPr>
        <w:tc>
          <w:tcPr>
            <w:tcW w:w="6860" w:type="dxa"/>
            <w:vAlign w:val="bottom"/>
          </w:tcPr>
          <w:p>
            <w:pPr>
              <w:ind w:left="340"/>
              <w:spacing w:after="0" w:line="256" w:lineRule="exact"/>
              <w:rPr>
                <w:sz w:val="20"/>
                <w:szCs w:val="20"/>
                <w:color w:val="auto"/>
              </w:rPr>
            </w:pPr>
            <w:r>
              <w:rPr>
                <w:rFonts w:ascii="Times New Roman" w:cs="Times New Roman" w:eastAsia="Times New Roman" w:hAnsi="Times New Roman"/>
                <w:sz w:val="18"/>
                <w:szCs w:val="18"/>
                <w:color w:val="auto"/>
              </w:rPr>
              <w:t xml:space="preserve">Fuel, operating expenses and supplies </w:t>
            </w:r>
            <w:r>
              <w:rPr>
                <w:rFonts w:ascii="Times New Roman" w:cs="Times New Roman" w:eastAsia="Times New Roman" w:hAnsi="Times New Roman"/>
                <w:sz w:val="29"/>
                <w:szCs w:val="29"/>
                <w:color w:val="auto"/>
                <w:vertAlign w:val="superscript"/>
              </w:rPr>
              <w:t>(1)</w:t>
            </w:r>
          </w:p>
        </w:tc>
        <w:tc>
          <w:tcPr>
            <w:tcW w:w="840" w:type="dxa"/>
            <w:vAlign w:val="bottom"/>
          </w:tcPr>
          <w:p>
            <w:pPr>
              <w:spacing w:after="0"/>
              <w:rPr>
                <w:sz w:val="22"/>
                <w:szCs w:val="22"/>
                <w:color w:val="auto"/>
              </w:rPr>
            </w:pPr>
          </w:p>
        </w:tc>
        <w:tc>
          <w:tcPr>
            <w:tcW w:w="6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162</w:t>
            </w:r>
          </w:p>
        </w:tc>
        <w:tc>
          <w:tcPr>
            <w:tcW w:w="8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tcPr>
          <w:p>
            <w:pPr>
              <w:spacing w:after="0"/>
              <w:rPr>
                <w:sz w:val="22"/>
                <w:szCs w:val="22"/>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taxes and licenses</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Insurance and claims</w:t>
            </w:r>
          </w:p>
        </w:tc>
        <w:tc>
          <w:tcPr>
            <w:tcW w:w="84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c>
          <w:tcPr>
            <w:tcW w:w="8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Gains on sales of property and equipment</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32</w:t>
            </w:r>
          </w:p>
        </w:tc>
        <w:tc>
          <w:tcPr>
            <w:tcW w:w="8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56"/>
        </w:trPr>
        <w:tc>
          <w:tcPr>
            <w:tcW w:w="6860" w:type="dxa"/>
            <w:vAlign w:val="bottom"/>
            <w:shd w:val="clear" w:color="auto" w:fill="CCEEFF"/>
          </w:tcPr>
          <w:p>
            <w:pPr>
              <w:ind w:left="340"/>
              <w:spacing w:after="0" w:line="256" w:lineRule="exact"/>
              <w:rPr>
                <w:sz w:val="20"/>
                <w:szCs w:val="20"/>
                <w:color w:val="auto"/>
              </w:rPr>
            </w:pPr>
            <w:r>
              <w:rPr>
                <w:rFonts w:ascii="Times New Roman" w:cs="Times New Roman" w:eastAsia="Times New Roman" w:hAnsi="Times New Roman"/>
                <w:sz w:val="18"/>
                <w:szCs w:val="18"/>
                <w:color w:val="auto"/>
              </w:rPr>
              <w:t xml:space="preserve">Legal matter </w:t>
            </w:r>
            <w:r>
              <w:rPr>
                <w:rFonts w:ascii="Times New Roman" w:cs="Times New Roman" w:eastAsia="Times New Roman" w:hAnsi="Times New Roman"/>
                <w:sz w:val="29"/>
                <w:szCs w:val="29"/>
                <w:color w:val="auto"/>
                <w:vertAlign w:val="superscript"/>
              </w:rPr>
              <w:t>(2)</w:t>
            </w:r>
          </w:p>
        </w:tc>
        <w:tc>
          <w:tcPr>
            <w:tcW w:w="8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shd w:val="clear" w:color="auto" w:fill="CCEEFF"/>
          </w:tcPr>
          <w:p>
            <w:pPr>
              <w:spacing w:after="0"/>
              <w:rPr>
                <w:sz w:val="22"/>
                <w:szCs w:val="22"/>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84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costs</w:t>
            </w:r>
          </w:p>
        </w:tc>
        <w:tc>
          <w:tcPr>
            <w:tcW w:w="8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09"/>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expense</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860" w:type="dxa"/>
            <w:vAlign w:val="bottom"/>
          </w:tcPr>
          <w:p>
            <w:pPr>
              <w:ind w:left="340"/>
              <w:spacing w:after="0" w:line="256" w:lineRule="exact"/>
              <w:rPr>
                <w:sz w:val="20"/>
                <w:szCs w:val="20"/>
                <w:color w:val="auto"/>
              </w:rPr>
            </w:pPr>
            <w:r>
              <w:rPr>
                <w:rFonts w:ascii="Times New Roman" w:cs="Times New Roman" w:eastAsia="Times New Roman" w:hAnsi="Times New Roman"/>
                <w:sz w:val="18"/>
                <w:szCs w:val="18"/>
                <w:color w:val="auto"/>
              </w:rPr>
              <w:t xml:space="preserve">Legal matter </w:t>
            </w:r>
            <w:r>
              <w:rPr>
                <w:rFonts w:ascii="Times New Roman" w:cs="Times New Roman" w:eastAsia="Times New Roman" w:hAnsi="Times New Roman"/>
                <w:sz w:val="29"/>
                <w:szCs w:val="29"/>
                <w:color w:val="auto"/>
                <w:vertAlign w:val="superscript"/>
              </w:rPr>
              <w:t>(2)</w:t>
            </w:r>
          </w:p>
        </w:tc>
        <w:tc>
          <w:tcPr>
            <w:tcW w:w="840" w:type="dxa"/>
            <w:vAlign w:val="bottom"/>
          </w:tcPr>
          <w:p>
            <w:pPr>
              <w:spacing w:after="0"/>
              <w:rPr>
                <w:sz w:val="22"/>
                <w:szCs w:val="22"/>
                <w:color w:val="auto"/>
              </w:rPr>
            </w:pPr>
          </w:p>
        </w:tc>
        <w:tc>
          <w:tcPr>
            <w:tcW w:w="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 costs</w:t>
            </w:r>
          </w:p>
        </w:tc>
        <w:tc>
          <w:tcPr>
            <w:tcW w:w="840" w:type="dxa"/>
            <w:vAlign w:val="bottom"/>
          </w:tcPr>
          <w:p>
            <w:pPr>
              <w:spacing w:after="0"/>
              <w:rPr>
                <w:sz w:val="19"/>
                <w:szCs w:val="19"/>
                <w:color w:val="auto"/>
              </w:rPr>
            </w:pPr>
          </w:p>
        </w:tc>
        <w:tc>
          <w:tcPr>
            <w:tcW w:w="6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shd w:val="clear" w:color="auto" w:fill="CCEEFF"/>
          </w:tcPr>
          <w:p>
            <w:pPr>
              <w:spacing w:after="0" w:line="202" w:lineRule="exact"/>
              <w:rPr>
                <w:sz w:val="20"/>
                <w:szCs w:val="20"/>
                <w:color w:val="auto"/>
              </w:rPr>
            </w:pPr>
            <w:r>
              <w:rPr>
                <w:rFonts w:ascii="Times New Roman" w:cs="Times New Roman" w:eastAsia="Times New Roman" w:hAnsi="Times New Roman"/>
                <w:sz w:val="15"/>
                <w:szCs w:val="15"/>
                <w:b w:val="1"/>
                <w:bCs w:val="1"/>
                <w:color w:val="auto"/>
              </w:rPr>
              <w:t xml:space="preserve">Adjusted operating income (loss) </w:t>
            </w:r>
            <w:r>
              <w:rPr>
                <w:rFonts w:ascii="Times New Roman" w:cs="Times New Roman" w:eastAsia="Times New Roman" w:hAnsi="Times New Roman"/>
                <w:sz w:val="23"/>
                <w:szCs w:val="23"/>
                <w:b w:val="1"/>
                <w:bCs w:val="1"/>
                <w:color w:val="auto"/>
                <w:vertAlign w:val="superscript"/>
              </w:rPr>
              <w:t>(3)</w:t>
            </w: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60" w:type="dxa"/>
            <w:vAlign w:val="bottom"/>
            <w:vMerge w:val="continue"/>
            <w:shd w:val="clear" w:color="auto" w:fill="CCEEFF"/>
          </w:tcPr>
          <w:p>
            <w:pPr>
              <w:spacing w:after="0"/>
              <w:rPr>
                <w:sz w:val="15"/>
                <w:szCs w:val="15"/>
                <w:color w:val="auto"/>
              </w:rPr>
            </w:pPr>
          </w:p>
        </w:tc>
        <w:tc>
          <w:tcPr>
            <w:tcW w:w="840" w:type="dxa"/>
            <w:vAlign w:val="bottom"/>
            <w:vMerge w:val="restart"/>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vMerge w:val="restart"/>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1"/>
        </w:trPr>
        <w:tc>
          <w:tcPr>
            <w:tcW w:w="6860" w:type="dxa"/>
            <w:vAlign w:val="bottom"/>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860" w:type="dxa"/>
            <w:vAlign w:val="bottom"/>
            <w:vMerge w:val="continue"/>
            <w:shd w:val="clear" w:color="auto" w:fill="CCEEFF"/>
          </w:tcPr>
          <w:p>
            <w:pPr>
              <w:spacing w:after="0"/>
              <w:rPr>
                <w:sz w:val="7"/>
                <w:szCs w:val="7"/>
                <w:color w:val="auto"/>
              </w:rPr>
            </w:pPr>
          </w:p>
        </w:tc>
        <w:tc>
          <w:tcPr>
            <w:tcW w:w="380" w:type="dxa"/>
            <w:vAlign w:val="bottom"/>
            <w:tcBorders>
              <w:right w:val="single" w:sz="8" w:color="CCEEFF"/>
            </w:tcBorders>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00" w:type="dxa"/>
            <w:vAlign w:val="bottom"/>
            <w:gridSpan w:val="2"/>
            <w:shd w:val="clear" w:color="auto" w:fill="CCEEFF"/>
          </w:tcPr>
          <w:p>
            <w:pPr>
              <w:jc w:val="right"/>
              <w:ind w:right="160"/>
              <w:spacing w:after="0" w:line="81" w:lineRule="exact"/>
              <w:rPr>
                <w:sz w:val="20"/>
                <w:szCs w:val="20"/>
                <w:color w:val="auto"/>
              </w:rPr>
            </w:pPr>
            <w:r>
              <w:rPr>
                <w:rFonts w:ascii="Times New Roman" w:cs="Times New Roman" w:eastAsia="Times New Roman" w:hAnsi="Times New Roman"/>
                <w:sz w:val="9"/>
                <w:szCs w:val="9"/>
                <w:color w:val="auto"/>
              </w:rPr>
              <w:t>-33.3</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Depreciation expense</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tcBorders>
              <w:bottom w:val="single" w:sz="8" w:color="CCEEFF"/>
            </w:tcBorders>
            <w:vMerge w:val="continue"/>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80" w:type="dxa"/>
            <w:vAlign w:val="bottom"/>
            <w:tcBorders>
              <w:bottom w:val="single" w:sz="8" w:color="CCEEFF"/>
            </w:tcBorders>
            <w:vMerge w:val="continue"/>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8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4"/>
                <w:szCs w:val="14"/>
                <w:b w:val="1"/>
                <w:bCs w:val="1"/>
                <w:color w:val="auto"/>
              </w:rPr>
              <w:t xml:space="preserve">Adjusted EBITDA </w:t>
            </w:r>
            <w:r>
              <w:rPr>
                <w:rFonts w:ascii="Times New Roman" w:cs="Times New Roman" w:eastAsia="Times New Roman" w:hAnsi="Times New Roman"/>
                <w:sz w:val="21"/>
                <w:szCs w:val="21"/>
                <w:b w:val="1"/>
                <w:bCs w:val="1"/>
                <w:color w:val="auto"/>
                <w:vertAlign w:val="superscript"/>
              </w:rPr>
              <w:t>(4)</w:t>
            </w:r>
          </w:p>
        </w:tc>
        <w:tc>
          <w:tcPr>
            <w:tcW w:w="840" w:type="dxa"/>
            <w:vAlign w:val="bottom"/>
            <w:vMerge w:val="restart"/>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32</w:t>
            </w:r>
          </w:p>
        </w:tc>
        <w:tc>
          <w:tcPr>
            <w:tcW w:w="860" w:type="dxa"/>
            <w:vAlign w:val="bottom"/>
            <w:vMerge w:val="restart"/>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1"/>
        </w:trPr>
        <w:tc>
          <w:tcPr>
            <w:tcW w:w="6860" w:type="dxa"/>
            <w:vAlign w:val="bottom"/>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860" w:type="dxa"/>
            <w:vAlign w:val="bottom"/>
            <w:vMerge w:val="continue"/>
            <w:shd w:val="clear" w:color="auto" w:fill="CCEEFF"/>
          </w:tcPr>
          <w:p>
            <w:pPr>
              <w:spacing w:after="0"/>
              <w:rPr>
                <w:sz w:val="7"/>
                <w:szCs w:val="7"/>
                <w:color w:val="auto"/>
              </w:rPr>
            </w:pPr>
          </w:p>
        </w:tc>
        <w:tc>
          <w:tcPr>
            <w:tcW w:w="380" w:type="dxa"/>
            <w:vAlign w:val="bottom"/>
            <w:tcBorders>
              <w:right w:val="single" w:sz="8" w:color="CCEEFF"/>
            </w:tcBorders>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00" w:type="dxa"/>
            <w:vAlign w:val="bottom"/>
            <w:gridSpan w:val="2"/>
            <w:shd w:val="clear" w:color="auto" w:fill="CCEEFF"/>
          </w:tcPr>
          <w:p>
            <w:pPr>
              <w:jc w:val="right"/>
              <w:ind w:right="160"/>
              <w:spacing w:after="0" w:line="81" w:lineRule="exact"/>
              <w:rPr>
                <w:sz w:val="20"/>
                <w:szCs w:val="20"/>
                <w:color w:val="auto"/>
              </w:rPr>
            </w:pPr>
            <w:r>
              <w:rPr>
                <w:rFonts w:ascii="Times New Roman" w:cs="Times New Roman" w:eastAsia="Times New Roman" w:hAnsi="Times New Roman"/>
                <w:sz w:val="9"/>
                <w:szCs w:val="9"/>
                <w:color w:val="auto"/>
              </w:rPr>
              <w:t>-15.8</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line="263" w:lineRule="exact"/>
              <w:rPr>
                <w:sz w:val="20"/>
                <w:szCs w:val="20"/>
                <w:color w:val="auto"/>
              </w:rPr>
            </w:pPr>
            <w:r>
              <w:rPr>
                <w:rFonts w:ascii="Times New Roman" w:cs="Times New Roman" w:eastAsia="Times New Roman" w:hAnsi="Times New Roman"/>
                <w:sz w:val="18"/>
                <w:szCs w:val="18"/>
                <w:b w:val="1"/>
                <w:bCs w:val="1"/>
                <w:color w:val="auto"/>
              </w:rPr>
              <w:t xml:space="preserve">Adjusted EBITDA margin </w:t>
            </w:r>
            <w:r>
              <w:rPr>
                <w:rFonts w:ascii="Times New Roman" w:cs="Times New Roman" w:eastAsia="Times New Roman" w:hAnsi="Times New Roman"/>
                <w:sz w:val="29"/>
                <w:szCs w:val="29"/>
                <w:b w:val="1"/>
                <w:bCs w:val="1"/>
                <w:color w:val="auto"/>
                <w:vertAlign w:val="superscript"/>
              </w:rPr>
              <w:t>(4)</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6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ind w:left="220" w:hanging="212"/>
        <w:spacing w:after="0" w:line="205" w:lineRule="auto"/>
        <w:tabs>
          <w:tab w:leader="none" w:pos="220"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Fuel, operating expenses and supplies includes fuel-related taxes.</w:t>
      </w:r>
    </w:p>
    <w:p>
      <w:pPr>
        <w:spacing w:after="0" w:line="42" w:lineRule="exact"/>
        <w:rPr>
          <w:rFonts w:ascii="Times New Roman" w:cs="Times New Roman" w:eastAsia="Times New Roman" w:hAnsi="Times New Roman"/>
          <w:sz w:val="27"/>
          <w:szCs w:val="27"/>
          <w:color w:val="auto"/>
          <w:vertAlign w:val="superscript"/>
        </w:rPr>
      </w:pPr>
    </w:p>
    <w:p>
      <w:pPr>
        <w:ind w:right="380" w:firstLine="8"/>
        <w:spacing w:after="0"/>
        <w:tabs>
          <w:tab w:leader="none" w:pos="220"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Reflects the settlement of claims against certain truck manufacturers related to purchases by our European Transportation segment covering periods prior to 2015.</w:t>
      </w:r>
    </w:p>
    <w:p>
      <w:pPr>
        <w:spacing w:after="0" w:line="119" w:lineRule="exact"/>
        <w:rPr>
          <w:rFonts w:ascii="Times New Roman" w:cs="Times New Roman" w:eastAsia="Times New Roman" w:hAnsi="Times New Roman"/>
          <w:sz w:val="27"/>
          <w:szCs w:val="27"/>
          <w:color w:val="auto"/>
          <w:vertAlign w:val="superscript"/>
        </w:rPr>
      </w:pPr>
    </w:p>
    <w:p>
      <w:pPr>
        <w:ind w:left="220" w:hanging="212"/>
        <w:spacing w:after="0" w:line="198" w:lineRule="auto"/>
        <w:tabs>
          <w:tab w:leader="none" w:pos="220"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See the “Non-GAAP Financial Measures” section of the press release.</w:t>
      </w:r>
    </w:p>
    <w:p>
      <w:pPr>
        <w:spacing w:after="0" w:line="42" w:lineRule="exact"/>
        <w:rPr>
          <w:rFonts w:ascii="Times New Roman" w:cs="Times New Roman" w:eastAsia="Times New Roman" w:hAnsi="Times New Roman"/>
          <w:sz w:val="27"/>
          <w:szCs w:val="27"/>
          <w:color w:val="auto"/>
          <w:vertAlign w:val="superscript"/>
        </w:rPr>
      </w:pPr>
    </w:p>
    <w:p>
      <w:pPr>
        <w:ind w:right="420" w:firstLine="8"/>
        <w:spacing w:after="0" w:line="213" w:lineRule="auto"/>
        <w:tabs>
          <w:tab w:leader="none" w:pos="212" w:val="left"/>
        </w:tabs>
        <w:numPr>
          <w:ilvl w:val="0"/>
          <w:numId w:val="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Adjusted EBITDA is used by our chief operating decision maker to evaluate segment profit (loss) in accordance with ASC 280. Adjusted EBITDA margin is calculated as Adjusted EBITDA divided by Revenue using the underlying unrounded amounts.</w:t>
      </w:r>
    </w:p>
    <w:p>
      <w:pPr>
        <w:spacing w:after="0" w:line="200" w:lineRule="exact"/>
        <w:rPr>
          <w:sz w:val="20"/>
          <w:szCs w:val="20"/>
          <w:color w:val="auto"/>
        </w:rPr>
      </w:pPr>
    </w:p>
    <w:p>
      <w:pPr>
        <w:spacing w:after="0" w:line="215"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Salaries, wages and employee benefits</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Insurance and claims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Transaction and integration costs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Restructuring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loss</w:t>
      </w:r>
    </w:p>
    <w:p>
      <w:pPr>
        <w:ind w:left="340"/>
        <w:spacing w:after="0" w:line="211" w:lineRule="auto"/>
        <w:rPr>
          <w:sz w:val="20"/>
          <w:szCs w:val="20"/>
          <w:color w:val="auto"/>
        </w:rPr>
      </w:pPr>
      <w:r>
        <w:rPr>
          <w:rFonts w:ascii="Times New Roman" w:cs="Times New Roman" w:eastAsia="Times New Roman" w:hAnsi="Times New Roman"/>
          <w:sz w:val="18"/>
          <w:szCs w:val="18"/>
          <w:color w:val="auto"/>
        </w:rPr>
        <w:t xml:space="preserve">Other income (expense) </w:t>
      </w:r>
      <w:r>
        <w:rPr>
          <w:rFonts w:ascii="Times New Roman" w:cs="Times New Roman" w:eastAsia="Times New Roman" w:hAnsi="Times New Roman"/>
          <w:sz w:val="29"/>
          <w:szCs w:val="29"/>
          <w:color w:val="auto"/>
          <w:vertAlign w:val="superscript"/>
        </w:rPr>
        <w:t>(1)</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Transaction and integration costs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Restructuring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29"/>
          <w:szCs w:val="29"/>
          <w:b w:val="1"/>
          <w:bCs w:val="1"/>
          <w:color w:val="auto"/>
          <w:vertAlign w:val="superscript"/>
        </w:rPr>
        <w:t>(2)</w:t>
      </w:r>
    </w:p>
    <w:p>
      <w:pPr>
        <w:spacing w:after="0" w:line="20" w:lineRule="exact"/>
        <w:rPr>
          <w:sz w:val="20"/>
          <w:szCs w:val="20"/>
          <w:color w:val="auto"/>
        </w:rPr>
      </w:pPr>
      <w:r>
        <w:rPr>
          <w:sz w:val="20"/>
          <w:szCs w:val="20"/>
          <w:color w:val="auto"/>
        </w:rPr>
        <w:br w:type="column"/>
      </w:r>
    </w:p>
    <w:p>
      <w:pPr>
        <w:jc w:val="center"/>
        <w:ind w:right="4600"/>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31" w:lineRule="exact"/>
        <w:rPr>
          <w:sz w:val="20"/>
          <w:szCs w:val="20"/>
          <w:color w:val="auto"/>
        </w:rPr>
      </w:pPr>
    </w:p>
    <w:p>
      <w:pPr>
        <w:jc w:val="center"/>
        <w:ind w:right="4600"/>
        <w:spacing w:after="0"/>
        <w:rPr>
          <w:sz w:val="20"/>
          <w:szCs w:val="20"/>
          <w:color w:val="auto"/>
        </w:rPr>
      </w:pPr>
      <w:r>
        <w:rPr>
          <w:rFonts w:ascii="Times New Roman" w:cs="Times New Roman" w:eastAsia="Times New Roman" w:hAnsi="Times New Roman"/>
          <w:sz w:val="17"/>
          <w:szCs w:val="17"/>
          <w:b w:val="1"/>
          <w:bCs w:val="1"/>
          <w:color w:val="auto"/>
        </w:rPr>
        <w:t>Summary Financial Table</w:t>
      </w:r>
    </w:p>
    <w:p>
      <w:pPr>
        <w:spacing w:after="0" w:line="21" w:lineRule="exact"/>
        <w:rPr>
          <w:sz w:val="20"/>
          <w:szCs w:val="20"/>
          <w:color w:val="auto"/>
        </w:rPr>
      </w:pPr>
    </w:p>
    <w:p>
      <w:pPr>
        <w:jc w:val="center"/>
        <w:ind w:right="46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60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1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234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140" w:type="dxa"/>
            <w:vAlign w:val="bottom"/>
            <w:gridSpan w:val="3"/>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395"/>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4"/>
                <w:szCs w:val="24"/>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9"/>
                <w:szCs w:val="19"/>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NM</w:t>
            </w:r>
          </w:p>
        </w:tc>
      </w:tr>
      <w:tr>
        <w:trPr>
          <w:trHeight w:val="209"/>
        </w:trPr>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 w:type="dxa"/>
            <w:vAlign w:val="bottom"/>
            <w:tcBorders>
              <w:top w:val="single" w:sz="8" w:color="auto"/>
            </w:tcBorders>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18"/>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9"/>
                <w:szCs w:val="19"/>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w:t>
            </w: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64"/>
        </w:trPr>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-1910715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-1628140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-1353820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-1079500</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-788035</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-487680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-205105</wp:posOffset>
            </wp:positionV>
            <wp:extent cx="713232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600"/>
          </w:cols>
          <w:pgMar w:left="320" w:top="900" w:right="359" w:bottom="1440" w:gutter="0" w:footer="0" w:header="0"/>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ind w:left="220" w:hanging="212"/>
        <w:spacing w:after="0" w:line="205" w:lineRule="auto"/>
        <w:tabs>
          <w:tab w:leader="none" w:pos="220"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Other income (expense) consists of foreign currency gain (loss) and other income (expense).</w:t>
      </w:r>
    </w:p>
    <w:p>
      <w:pPr>
        <w:spacing w:after="0" w:line="42" w:lineRule="exact"/>
        <w:rPr>
          <w:rFonts w:ascii="Times New Roman" w:cs="Times New Roman" w:eastAsia="Times New Roman" w:hAnsi="Times New Roman"/>
          <w:sz w:val="27"/>
          <w:szCs w:val="27"/>
          <w:color w:val="auto"/>
          <w:vertAlign w:val="superscript"/>
        </w:rPr>
      </w:pPr>
    </w:p>
    <w:p>
      <w:pPr>
        <w:ind w:left="220" w:hanging="212"/>
        <w:spacing w:after="0" w:line="194" w:lineRule="auto"/>
        <w:tabs>
          <w:tab w:leader="none" w:pos="2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See the “Non-GAAP Financial Measures” section of the press release.</w:t>
      </w:r>
    </w:p>
    <w:p>
      <w:pPr>
        <w:spacing w:after="0" w:line="200" w:lineRule="exact"/>
        <w:rPr>
          <w:sz w:val="20"/>
          <w:szCs w:val="20"/>
          <w:color w:val="auto"/>
        </w:rPr>
      </w:pPr>
    </w:p>
    <w:p>
      <w:pPr>
        <w:spacing w:after="0" w:line="21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580" w:type="dxa"/>
            <w:vAlign w:val="bottom"/>
            <w:gridSpan w:val="7"/>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EBITDA</w:t>
            </w: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80" w:type="dxa"/>
            <w:vAlign w:val="bottom"/>
            <w:gridSpan w:val="2"/>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w:t>
            </w:r>
          </w:p>
        </w:tc>
        <w:tc>
          <w:tcPr>
            <w:tcW w:w="80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extinguishment loss</w:t>
            </w: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Borders>
              <w:left w:val="single" w:sz="8" w:color="CCEEFF"/>
            </w:tcBorders>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123</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3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Legal matter </w:t>
            </w:r>
            <w:r>
              <w:rPr>
                <w:rFonts w:ascii="Times New Roman" w:cs="Times New Roman" w:eastAsia="Times New Roman" w:hAnsi="Times New Roman"/>
                <w:sz w:val="29"/>
                <w:szCs w:val="29"/>
                <w:color w:val="auto"/>
                <w:vertAlign w:val="superscript"/>
              </w:rPr>
              <w:t>(1)</w:t>
            </w:r>
          </w:p>
        </w:tc>
        <w:tc>
          <w:tcPr>
            <w:tcW w:w="14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80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Borders>
              <w:left w:val="single" w:sz="8" w:color="CCEEFF"/>
            </w:tcBorders>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29"/>
                <w:szCs w:val="29"/>
                <w:b w:val="1"/>
                <w:bCs w:val="1"/>
                <w:color w:val="auto"/>
                <w:vertAlign w:val="superscript"/>
              </w:rPr>
              <w:t>(2)</w:t>
            </w:r>
          </w:p>
        </w:tc>
        <w:tc>
          <w:tcPr>
            <w:tcW w:w="1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380" w:type="dxa"/>
            <w:vAlign w:val="bottom"/>
            <w:vMerge w:val="continue"/>
          </w:tcPr>
          <w:p>
            <w:pPr>
              <w:spacing w:after="0"/>
              <w:rPr>
                <w:sz w:val="24"/>
                <w:szCs w:val="24"/>
                <w:color w:val="auto"/>
              </w:rPr>
            </w:pPr>
          </w:p>
        </w:tc>
        <w:tc>
          <w:tcPr>
            <w:tcW w:w="2280" w:type="dxa"/>
            <w:vAlign w:val="bottom"/>
            <w:gridSpan w:val="2"/>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278</w:t>
            </w:r>
          </w:p>
        </w:tc>
        <w:tc>
          <w:tcPr>
            <w:tcW w:w="80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60" w:type="dxa"/>
            <w:vAlign w:val="bottom"/>
          </w:tcPr>
          <w:p>
            <w:pPr>
              <w:spacing w:after="0"/>
              <w:rPr>
                <w:sz w:val="24"/>
                <w:szCs w:val="24"/>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tcBorders>
              <w:top w:val="single" w:sz="8" w:color="CCEEFF"/>
            </w:tcBorders>
            <w:vMerge w:val="restart"/>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1,954</w:t>
            </w:r>
          </w:p>
        </w:tc>
        <w:tc>
          <w:tcPr>
            <w:tcW w:w="28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2,018</w:t>
            </w:r>
          </w:p>
        </w:tc>
        <w:tc>
          <w:tcPr>
            <w:tcW w:w="260" w:type="dxa"/>
            <w:vAlign w:val="bottom"/>
            <w:tcBorders>
              <w:left w:val="single" w:sz="8" w:color="CCEEFF"/>
            </w:tcBorders>
            <w:shd w:val="clear" w:color="auto" w:fill="CCEEFF"/>
          </w:tcPr>
          <w:p>
            <w:pPr>
              <w:spacing w:after="0"/>
              <w:rPr>
                <w:sz w:val="17"/>
                <w:szCs w:val="17"/>
                <w:color w:val="auto"/>
              </w:rPr>
            </w:pPr>
          </w:p>
        </w:tc>
        <w:tc>
          <w:tcPr>
            <w:tcW w:w="140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0"/>
        </w:trPr>
        <w:tc>
          <w:tcPr>
            <w:tcW w:w="5380" w:type="dxa"/>
            <w:vAlign w:val="bottom"/>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Adjusted EBITDA margin </w:t>
            </w:r>
            <w:r>
              <w:rPr>
                <w:rFonts w:ascii="Times New Roman" w:cs="Times New Roman" w:eastAsia="Times New Roman" w:hAnsi="Times New Roman"/>
                <w:sz w:val="29"/>
                <w:szCs w:val="29"/>
                <w:b w:val="1"/>
                <w:bCs w:val="1"/>
                <w:color w:val="auto"/>
                <w:vertAlign w:val="superscript"/>
              </w:rPr>
              <w:t>(2) (3)</w:t>
            </w:r>
          </w:p>
        </w:tc>
        <w:tc>
          <w:tcPr>
            <w:tcW w:w="1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800" w:type="dxa"/>
            <w:vAlign w:val="bottom"/>
          </w:tcPr>
          <w:p>
            <w:pPr>
              <w:spacing w:after="0"/>
              <w:rPr>
                <w:sz w:val="23"/>
                <w:szCs w:val="2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50" w:lineRule="exact"/>
        <w:rPr>
          <w:sz w:val="20"/>
          <w:szCs w:val="20"/>
          <w:color w:val="auto"/>
        </w:rPr>
      </w:pPr>
    </w:p>
    <w:p>
      <w:pPr>
        <w:ind w:right="380" w:firstLine="8"/>
        <w:spacing w:after="0"/>
        <w:tabs>
          <w:tab w:leader="none" w:pos="212" w:val="left"/>
        </w:tabs>
        <w:numPr>
          <w:ilvl w:val="0"/>
          <w:numId w:val="1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Reflects the settlement of claims against certain truck manufacturers related to purchases by our European Transportation segment covering periods prior to 2015.</w:t>
      </w:r>
    </w:p>
    <w:p>
      <w:pPr>
        <w:spacing w:after="0" w:line="151" w:lineRule="exact"/>
        <w:rPr>
          <w:rFonts w:ascii="Times New Roman" w:cs="Times New Roman" w:eastAsia="Times New Roman" w:hAnsi="Times New Roman"/>
          <w:sz w:val="26"/>
          <w:szCs w:val="26"/>
          <w:color w:val="auto"/>
          <w:vertAlign w:val="superscript"/>
        </w:rPr>
      </w:pPr>
    </w:p>
    <w:p>
      <w:pPr>
        <w:ind w:left="220" w:hanging="212"/>
        <w:spacing w:after="0" w:line="198" w:lineRule="auto"/>
        <w:tabs>
          <w:tab w:leader="none" w:pos="220"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See the “Non-GAAP Financial Measures” section of the press release.</w:t>
      </w:r>
    </w:p>
    <w:p>
      <w:pPr>
        <w:spacing w:after="0" w:line="42" w:lineRule="exact"/>
        <w:rPr>
          <w:rFonts w:ascii="Times New Roman" w:cs="Times New Roman" w:eastAsia="Times New Roman" w:hAnsi="Times New Roman"/>
          <w:sz w:val="27"/>
          <w:szCs w:val="27"/>
          <w:color w:val="auto"/>
          <w:vertAlign w:val="superscript"/>
        </w:rPr>
      </w:pPr>
    </w:p>
    <w:p>
      <w:pPr>
        <w:ind w:left="220" w:hanging="212"/>
        <w:spacing w:after="0" w:line="194" w:lineRule="auto"/>
        <w:tabs>
          <w:tab w:leader="none" w:pos="2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Adjusted EBITDA margin is calculated as Adjusted EBITDA divided by Revenue using the underlying unrounded amounts.</w:t>
      </w:r>
    </w:p>
    <w:p>
      <w:pPr>
        <w:spacing w:after="0" w:line="200" w:lineRule="exact"/>
        <w:rPr>
          <w:sz w:val="20"/>
          <w:szCs w:val="20"/>
          <w:color w:val="auto"/>
        </w:rPr>
      </w:pPr>
    </w:p>
    <w:p>
      <w:pPr>
        <w:spacing w:after="0" w:line="214"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Measures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2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8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4"/>
        </w:trPr>
        <w:tc>
          <w:tcPr>
            <w:tcW w:w="806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Reconciliation of Net Income and Diluted Earnings Per Share to Adjusted Net Income and Adjusted</w:t>
            </w:r>
          </w:p>
        </w:tc>
        <w:tc>
          <w:tcPr>
            <w:tcW w:w="3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8"/>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w:t>
            </w:r>
          </w:p>
        </w:tc>
        <w:tc>
          <w:tcPr>
            <w:tcW w:w="9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extinguishment loss</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57"/>
        </w:trPr>
        <w:tc>
          <w:tcPr>
            <w:tcW w:w="8060" w:type="dxa"/>
            <w:vAlign w:val="bottom"/>
            <w:shd w:val="clear" w:color="auto" w:fill="CCEEFF"/>
          </w:tcPr>
          <w:p>
            <w:pPr>
              <w:ind w:left="340"/>
              <w:spacing w:after="0" w:line="256" w:lineRule="exact"/>
              <w:rPr>
                <w:sz w:val="20"/>
                <w:szCs w:val="20"/>
                <w:color w:val="auto"/>
              </w:rPr>
            </w:pPr>
            <w:r>
              <w:rPr>
                <w:rFonts w:ascii="Times New Roman" w:cs="Times New Roman" w:eastAsia="Times New Roman" w:hAnsi="Times New Roman"/>
                <w:sz w:val="18"/>
                <w:szCs w:val="18"/>
                <w:color w:val="auto"/>
              </w:rPr>
              <w:t xml:space="preserve">Legal matter </w:t>
            </w:r>
            <w:r>
              <w:rPr>
                <w:rFonts w:ascii="Times New Roman" w:cs="Times New Roman" w:eastAsia="Times New Roman" w:hAnsi="Times New Roman"/>
                <w:sz w:val="29"/>
                <w:szCs w:val="29"/>
                <w:color w:val="auto"/>
                <w:vertAlign w:val="superscript"/>
              </w:rPr>
              <w:t>(1)</w:t>
            </w:r>
          </w:p>
        </w:tc>
        <w:tc>
          <w:tcPr>
            <w:tcW w:w="3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costs</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56"/>
        </w:trPr>
        <w:tc>
          <w:tcPr>
            <w:tcW w:w="8060" w:type="dxa"/>
            <w:vAlign w:val="bottom"/>
          </w:tcPr>
          <w:p>
            <w:pPr>
              <w:ind w:left="340"/>
              <w:spacing w:after="0" w:line="256" w:lineRule="exact"/>
              <w:rPr>
                <w:sz w:val="20"/>
                <w:szCs w:val="20"/>
                <w:color w:val="auto"/>
              </w:rPr>
            </w:pPr>
            <w:r>
              <w:rPr>
                <w:rFonts w:ascii="Times New Roman" w:cs="Times New Roman" w:eastAsia="Times New Roman" w:hAnsi="Times New Roman"/>
                <w:sz w:val="18"/>
                <w:szCs w:val="18"/>
                <w:color w:val="auto"/>
              </w:rPr>
              <w:t xml:space="preserve">Income tax associated with the adjustments above </w:t>
            </w:r>
            <w:r>
              <w:rPr>
                <w:rFonts w:ascii="Times New Roman" w:cs="Times New Roman" w:eastAsia="Times New Roman" w:hAnsi="Times New Roman"/>
                <w:sz w:val="29"/>
                <w:szCs w:val="29"/>
                <w:color w:val="auto"/>
                <w:vertAlign w:val="superscript"/>
              </w:rPr>
              <w:t>(2)</w:t>
            </w: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57"/>
        </w:trPr>
        <w:tc>
          <w:tcPr>
            <w:tcW w:w="8060" w:type="dxa"/>
            <w:vAlign w:val="bottom"/>
            <w:shd w:val="clear" w:color="auto" w:fill="CCEEFF"/>
          </w:tcPr>
          <w:p>
            <w:pPr>
              <w:ind w:left="340"/>
              <w:spacing w:after="0" w:line="256" w:lineRule="exact"/>
              <w:rPr>
                <w:sz w:val="20"/>
                <w:szCs w:val="20"/>
                <w:color w:val="auto"/>
              </w:rPr>
            </w:pPr>
            <w:r>
              <w:rPr>
                <w:rFonts w:ascii="Times New Roman" w:cs="Times New Roman" w:eastAsia="Times New Roman" w:hAnsi="Times New Roman"/>
                <w:sz w:val="18"/>
                <w:szCs w:val="18"/>
                <w:color w:val="auto"/>
              </w:rPr>
              <w:t xml:space="preserve">European legal entity reorganization </w:t>
            </w:r>
            <w:r>
              <w:rPr>
                <w:rFonts w:ascii="Times New Roman" w:cs="Times New Roman" w:eastAsia="Times New Roman" w:hAnsi="Times New Roman"/>
                <w:sz w:val="29"/>
                <w:szCs w:val="29"/>
                <w:color w:val="auto"/>
                <w:vertAlign w:val="superscript"/>
              </w:rPr>
              <w:t>(3)</w:t>
            </w:r>
          </w:p>
        </w:tc>
        <w:tc>
          <w:tcPr>
            <w:tcW w:w="3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63"/>
        </w:trPr>
        <w:tc>
          <w:tcPr>
            <w:tcW w:w="8060" w:type="dxa"/>
            <w:vAlign w:val="bottom"/>
            <w:shd w:val="clear" w:color="auto" w:fill="CCEEFF"/>
          </w:tcPr>
          <w:p>
            <w:pPr>
              <w:spacing w:after="0" w:line="263" w:lineRule="exact"/>
              <w:rPr>
                <w:sz w:val="20"/>
                <w:szCs w:val="20"/>
                <w:color w:val="auto"/>
              </w:rPr>
            </w:pPr>
            <w:r>
              <w:rPr>
                <w:rFonts w:ascii="Times New Roman" w:cs="Times New Roman" w:eastAsia="Times New Roman" w:hAnsi="Times New Roman"/>
                <w:sz w:val="18"/>
                <w:szCs w:val="18"/>
                <w:b w:val="1"/>
                <w:bCs w:val="1"/>
                <w:color w:val="auto"/>
              </w:rPr>
              <w:t xml:space="preserve">Adjusted net income </w:t>
            </w:r>
            <w:r>
              <w:rPr>
                <w:rFonts w:ascii="Times New Roman" w:cs="Times New Roman" w:eastAsia="Times New Roman" w:hAnsi="Times New Roman"/>
                <w:sz w:val="29"/>
                <w:szCs w:val="29"/>
                <w:b w:val="1"/>
                <w:bCs w:val="1"/>
                <w:color w:val="auto"/>
                <w:vertAlign w:val="superscript"/>
              </w:rPr>
              <w:t>(4)</w:t>
            </w:r>
          </w:p>
        </w:tc>
        <w:tc>
          <w:tcPr>
            <w:tcW w:w="124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w:t>
            </w:r>
          </w:p>
        </w:tc>
        <w:tc>
          <w:tcPr>
            <w:tcW w:w="9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8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80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Adjusted diluted earnings per share </w:t>
            </w:r>
            <w:r>
              <w:rPr>
                <w:rFonts w:ascii="Times New Roman" w:cs="Times New Roman" w:eastAsia="Times New Roman" w:hAnsi="Times New Roman"/>
                <w:sz w:val="29"/>
                <w:szCs w:val="29"/>
                <w:b w:val="1"/>
                <w:bCs w:val="1"/>
                <w:color w:val="auto"/>
                <w:vertAlign w:val="superscript"/>
              </w:rPr>
              <w:t>(4)</w:t>
            </w:r>
          </w:p>
        </w:tc>
        <w:tc>
          <w:tcPr>
            <w:tcW w:w="124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0.73</w:t>
            </w:r>
          </w:p>
        </w:tc>
        <w:tc>
          <w:tcPr>
            <w:tcW w:w="9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0.81</w:t>
            </w:r>
          </w:p>
        </w:tc>
      </w:tr>
      <w:tr>
        <w:trPr>
          <w:trHeight w:val="216"/>
        </w:trPr>
        <w:tc>
          <w:tcPr>
            <w:tcW w:w="8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266" w:lineRule="exact"/>
        <w:rPr>
          <w:sz w:val="20"/>
          <w:szCs w:val="20"/>
          <w:color w:val="auto"/>
        </w:rPr>
      </w:pPr>
    </w:p>
    <w:p>
      <w:pPr>
        <w:ind w:right="380" w:firstLine="8"/>
        <w:spacing w:after="0"/>
        <w:tabs>
          <w:tab w:leader="none" w:pos="220"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Reflects the settlement of claims against certain truck manufacturers related to purchases by our European Transportation segment covering periods prior to 2015.</w:t>
      </w:r>
    </w:p>
    <w:p>
      <w:pPr>
        <w:spacing w:after="0" w:line="301" w:lineRule="exact"/>
        <w:rPr>
          <w:rFonts w:ascii="Times New Roman" w:cs="Times New Roman" w:eastAsia="Times New Roman" w:hAnsi="Times New Roman"/>
          <w:sz w:val="27"/>
          <w:szCs w:val="27"/>
          <w:color w:val="auto"/>
          <w:vertAlign w:val="superscript"/>
        </w:rPr>
      </w:pPr>
    </w:p>
    <w:p>
      <w:pPr>
        <w:ind w:left="220" w:hanging="212"/>
        <w:spacing w:after="0"/>
        <w:tabs>
          <w:tab w:leader="none" w:pos="220"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This line item reflects the aggregate tax benefit of all non-tax related adjustments reflected in the table above. The detail by line item is as follows:</w:t>
      </w:r>
    </w:p>
    <w:p>
      <w:pPr>
        <w:spacing w:after="0" w:line="24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extinguishment loss</w:t>
            </w:r>
          </w:p>
        </w:tc>
        <w:tc>
          <w:tcPr>
            <w:tcW w:w="262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2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2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820" w:type="dxa"/>
            <w:vAlign w:val="bottom"/>
            <w:tcBorders>
              <w:top w:val="single" w:sz="8" w:color="CCEEFF"/>
              <w:bottom w:val="single" w:sz="8" w:color="CCEEFF"/>
            </w:tcBorders>
            <w:shd w:val="clear" w:color="auto" w:fill="CCEEFF"/>
          </w:tcPr>
          <w:p>
            <w:pPr>
              <w:spacing w:after="0"/>
              <w:rPr>
                <w:sz w:val="19"/>
                <w:szCs w:val="19"/>
                <w:color w:val="auto"/>
              </w:rPr>
            </w:pP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w w:val="70"/>
              </w:rPr>
              <w:t>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income tax rate applied to reconciling items is based on the GAAP annual effective tax rate, excluding discrete items, non-deductible compensation, losses for which no tax benefit can be recognized, and contribution- and margin-based taxes.</w:t>
      </w:r>
    </w:p>
    <w:p>
      <w:pPr>
        <w:spacing w:after="0" w:line="202" w:lineRule="exact"/>
        <w:rPr>
          <w:sz w:val="20"/>
          <w:szCs w:val="20"/>
          <w:color w:val="auto"/>
        </w:rPr>
      </w:pPr>
    </w:p>
    <w:p>
      <w:pPr>
        <w:ind w:right="340" w:firstLine="8"/>
        <w:spacing w:after="0" w:line="218" w:lineRule="auto"/>
        <w:tabs>
          <w:tab w:leader="none" w:pos="220"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Reflects an adjustment recognized during the first quarter of 2025 to the tax benefit recognized in the second quarter of 2024 related to a legal entity reorganization within our European Transportation business.</w:t>
      </w:r>
    </w:p>
    <w:p>
      <w:pPr>
        <w:spacing w:after="0" w:line="163" w:lineRule="exact"/>
        <w:rPr>
          <w:rFonts w:ascii="Times New Roman" w:cs="Times New Roman" w:eastAsia="Times New Roman" w:hAnsi="Times New Roman"/>
          <w:sz w:val="27"/>
          <w:szCs w:val="27"/>
          <w:color w:val="auto"/>
          <w:vertAlign w:val="superscript"/>
        </w:rPr>
      </w:pPr>
    </w:p>
    <w:p>
      <w:pPr>
        <w:ind w:left="220" w:hanging="212"/>
        <w:spacing w:after="0"/>
        <w:tabs>
          <w:tab w:leader="none" w:pos="220"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See the "Non-GAAP Financial Measures" section of the press release.</w:t>
      </w:r>
    </w:p>
    <w:p>
      <w:pPr>
        <w:spacing w:after="0" w:line="200" w:lineRule="exact"/>
        <w:rPr>
          <w:sz w:val="20"/>
          <w:szCs w:val="20"/>
          <w:color w:val="auto"/>
        </w:rPr>
      </w:pPr>
    </w:p>
    <w:p>
      <w:pPr>
        <w:spacing w:after="0" w:line="214"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North American Less-Than-Truckload Segment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Financial Table vs Prior Quarter and First Quarter 2023</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19"/>
                <w:szCs w:val="19"/>
                <w:color w:val="auto"/>
              </w:rPr>
            </w:pPr>
          </w:p>
        </w:tc>
        <w:tc>
          <w:tcPr>
            <w:tcW w:w="140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 (excluding fuel surcharge revenue)</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Fuel surcharge revenue</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9"/>
                <w:szCs w:val="19"/>
                <w:color w:val="auto"/>
              </w:rPr>
            </w:pPr>
          </w:p>
        </w:tc>
        <w:tc>
          <w:tcPr>
            <w:tcW w:w="1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Salaries, wages and employee benefits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Pr>
          <w:p>
            <w:pPr>
              <w:spacing w:after="0"/>
              <w:rPr>
                <w:sz w:val="18"/>
                <w:szCs w:val="18"/>
                <w:color w:val="auto"/>
              </w:rPr>
            </w:pPr>
          </w:p>
        </w:tc>
        <w:tc>
          <w:tcPr>
            <w:tcW w:w="1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621</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Purchased transportation</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380" w:type="dxa"/>
            <w:vAlign w:val="bottom"/>
          </w:tcPr>
          <w:p>
            <w:pPr>
              <w:ind w:left="340"/>
              <w:spacing w:after="0" w:line="256" w:lineRule="exact"/>
              <w:rPr>
                <w:sz w:val="20"/>
                <w:szCs w:val="20"/>
                <w:color w:val="auto"/>
              </w:rPr>
            </w:pPr>
            <w:r>
              <w:rPr>
                <w:rFonts w:ascii="Times New Roman" w:cs="Times New Roman" w:eastAsia="Times New Roman" w:hAnsi="Times New Roman"/>
                <w:sz w:val="18"/>
                <w:szCs w:val="18"/>
                <w:color w:val="auto"/>
              </w:rPr>
              <w:t xml:space="preserve">Fuel, operating expenses and supplies </w:t>
            </w:r>
            <w:r>
              <w:rPr>
                <w:rFonts w:ascii="Times New Roman" w:cs="Times New Roman" w:eastAsia="Times New Roman" w:hAnsi="Times New Roman"/>
                <w:sz w:val="29"/>
                <w:szCs w:val="29"/>
                <w:color w:val="auto"/>
                <w:vertAlign w:val="superscript"/>
              </w:rPr>
              <w:t>(1)</w:t>
            </w:r>
          </w:p>
        </w:tc>
        <w:tc>
          <w:tcPr>
            <w:tcW w:w="1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22"/>
                <w:szCs w:val="22"/>
                <w:color w:val="auto"/>
              </w:rPr>
            </w:pPr>
          </w:p>
        </w:tc>
        <w:tc>
          <w:tcPr>
            <w:tcW w:w="1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taxes and licenses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Insurance and claims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1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(Gains) losses on sales of property and equipment</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8"/>
                <w:szCs w:val="18"/>
                <w:color w:val="auto"/>
              </w:rPr>
            </w:pPr>
          </w:p>
        </w:tc>
        <w:tc>
          <w:tcPr>
            <w:tcW w:w="1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costs</w:t>
            </w: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9"/>
                <w:szCs w:val="19"/>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 xml:space="preserve">Operating ratio </w:t>
            </w:r>
            <w:r>
              <w:rPr>
                <w:rFonts w:ascii="Times New Roman" w:cs="Times New Roman" w:eastAsia="Times New Roman" w:hAnsi="Times New Roman"/>
                <w:sz w:val="28"/>
                <w:szCs w:val="28"/>
                <w:b w:val="1"/>
                <w:bCs w:val="1"/>
                <w:color w:val="auto"/>
                <w:vertAlign w:val="superscript"/>
              </w:rPr>
              <w:t>(2)</w:t>
            </w:r>
          </w:p>
        </w:tc>
        <w:tc>
          <w:tcPr>
            <w:tcW w:w="1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86.5%</w:t>
            </w:r>
          </w:p>
        </w:tc>
        <w:tc>
          <w:tcPr>
            <w:tcW w:w="8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84.5%</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09"/>
        </w:trPr>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expense</w:t>
            </w:r>
          </w:p>
        </w:tc>
        <w:tc>
          <w:tcPr>
            <w:tcW w:w="14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costs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Gains on real estate transactions</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shd w:val="clear" w:color="auto" w:fill="CCEEFF"/>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 xml:space="preserve">Adjusted operating income </w:t>
            </w:r>
            <w:r>
              <w:rPr>
                <w:rFonts w:ascii="Times New Roman" w:cs="Times New Roman" w:eastAsia="Times New Roman" w:hAnsi="Times New Roman"/>
                <w:sz w:val="29"/>
                <w:szCs w:val="29"/>
                <w:b w:val="1"/>
                <w:bCs w:val="1"/>
                <w:color w:val="auto"/>
                <w:vertAlign w:val="superscript"/>
              </w:rPr>
              <w:t>(3)</w:t>
            </w:r>
          </w:p>
        </w:tc>
        <w:tc>
          <w:tcPr>
            <w:tcW w:w="14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380" w:type="dxa"/>
            <w:vAlign w:val="bottom"/>
            <w:vMerge w:val="continue"/>
            <w:shd w:val="clear" w:color="auto" w:fill="CCEEFF"/>
          </w:tcPr>
          <w:p>
            <w:pPr>
              <w:spacing w:after="0"/>
              <w:rPr>
                <w:sz w:val="22"/>
                <w:szCs w:val="22"/>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spacing w:after="0" w:line="263" w:lineRule="exact"/>
              <w:rPr>
                <w:sz w:val="20"/>
                <w:szCs w:val="20"/>
                <w:color w:val="auto"/>
              </w:rPr>
            </w:pPr>
            <w:r>
              <w:rPr>
                <w:rFonts w:ascii="Times New Roman" w:cs="Times New Roman" w:eastAsia="Times New Roman" w:hAnsi="Times New Roman"/>
                <w:sz w:val="18"/>
                <w:szCs w:val="18"/>
                <w:b w:val="1"/>
                <w:bCs w:val="1"/>
                <w:color w:val="auto"/>
              </w:rPr>
              <w:t xml:space="preserve">Adjusted operating ratio </w:t>
            </w:r>
            <w:r>
              <w:rPr>
                <w:rFonts w:ascii="Times New Roman" w:cs="Times New Roman" w:eastAsia="Times New Roman" w:hAnsi="Times New Roman"/>
                <w:sz w:val="29"/>
                <w:szCs w:val="29"/>
                <w:b w:val="1"/>
                <w:bCs w:val="1"/>
                <w:color w:val="auto"/>
                <w:vertAlign w:val="superscript"/>
              </w:rPr>
              <w:t>(3) (4)</w:t>
            </w:r>
          </w:p>
        </w:tc>
        <w:tc>
          <w:tcPr>
            <w:tcW w:w="1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may not add due to rounding.</w:t>
      </w:r>
    </w:p>
    <w:p>
      <w:pPr>
        <w:ind w:left="220" w:hanging="212"/>
        <w:spacing w:after="0" w:line="219" w:lineRule="auto"/>
        <w:tabs>
          <w:tab w:leader="none" w:pos="220"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Fuel, operating expenses and supplies includes fuel-related taxes.</w:t>
      </w:r>
    </w:p>
    <w:p>
      <w:pPr>
        <w:spacing w:after="0" w:line="42" w:lineRule="exact"/>
        <w:rPr>
          <w:rFonts w:ascii="Times New Roman" w:cs="Times New Roman" w:eastAsia="Times New Roman" w:hAnsi="Times New Roman"/>
          <w:sz w:val="27"/>
          <w:szCs w:val="27"/>
          <w:color w:val="auto"/>
          <w:vertAlign w:val="superscript"/>
        </w:rPr>
      </w:pPr>
    </w:p>
    <w:p>
      <w:pPr>
        <w:ind w:left="220" w:hanging="212"/>
        <w:spacing w:after="0" w:line="194" w:lineRule="auto"/>
        <w:tabs>
          <w:tab w:leader="none" w:pos="2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Operating ratio is calculated as (1 - (Operating income divided by Revenue)) using the underlying unrounded amounts.</w:t>
      </w:r>
    </w:p>
    <w:p>
      <w:pPr>
        <w:spacing w:after="0" w:line="42" w:lineRule="exact"/>
        <w:rPr>
          <w:rFonts w:ascii="Times New Roman" w:cs="Times New Roman" w:eastAsia="Times New Roman" w:hAnsi="Times New Roman"/>
          <w:sz w:val="23"/>
          <w:szCs w:val="23"/>
          <w:color w:val="auto"/>
          <w:vertAlign w:val="superscript"/>
        </w:rPr>
      </w:pPr>
    </w:p>
    <w:p>
      <w:pPr>
        <w:ind w:left="220" w:hanging="212"/>
        <w:spacing w:after="0" w:line="194" w:lineRule="auto"/>
        <w:tabs>
          <w:tab w:leader="none" w:pos="2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See the “Non-GAAP Financial Measures” section of the press release.</w:t>
      </w:r>
    </w:p>
    <w:p>
      <w:pPr>
        <w:spacing w:after="0" w:line="42" w:lineRule="exact"/>
        <w:rPr>
          <w:rFonts w:ascii="Times New Roman" w:cs="Times New Roman" w:eastAsia="Times New Roman" w:hAnsi="Times New Roman"/>
          <w:sz w:val="23"/>
          <w:szCs w:val="23"/>
          <w:color w:val="auto"/>
          <w:vertAlign w:val="superscript"/>
        </w:rPr>
      </w:pPr>
    </w:p>
    <w:p>
      <w:pPr>
        <w:ind w:right="500" w:firstLine="8"/>
        <w:spacing w:after="0" w:line="224" w:lineRule="auto"/>
        <w:tabs>
          <w:tab w:leader="none" w:pos="210"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Adjusted operating ratio is calculated as (1 - (Adjusted operating income divided by Revenue)) using the underlying unrounded amounts; adjusted operating margin is the inverse of adjusted operating ratio.</w:t>
      </w:r>
    </w:p>
    <w:p>
      <w:pPr>
        <w:spacing w:after="0" w:line="200" w:lineRule="exact"/>
        <w:rPr>
          <w:sz w:val="20"/>
          <w:szCs w:val="20"/>
          <w:color w:val="auto"/>
        </w:rPr>
      </w:pPr>
    </w:p>
    <w:p>
      <w:pPr>
        <w:spacing w:after="0" w:line="215"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3"/>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2025-04-30T05:52:41Z</dcterms:created>
  <dcterms:modified xsi:type="dcterms:W3CDTF">2025-04-30T05:52:41Z</dcterms:modified>
</cp:coreProperties>
</file>