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8705.xml.htm"/>
      <w:bookmarkStart w:id="1" w:name="kswkform4_17861387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Harik Mario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XPO,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FIVE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XPO, Inc.</w:t>
              </w:r>
            </w:hyperlink>
            <w:r>
              <w:rPr/>
              <w:t xml:space="preserve"> [ </w:t>
            </w:r>
            <w:r>
              <w:rPr>
                <w:rFonts w:ascii="Times;serif" w:hAnsi="Times;serif"/>
                <w:color w:val="0000FF"/>
                <w:sz w:val="24"/>
                <w:shd w:fill="FFFFFF" w:val="clear"/>
              </w:rPr>
              <w:t>XPO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1007"/>
        <w:gridCol w:w="443"/>
        <w:gridCol w:w="836"/>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345,742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848,547</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167,167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202.58</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681,380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345,742</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345,742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345,742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345,742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345,742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upon settlement, either (i) one share of Common Stock or (ii) a cash payment equal to the fair market value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5, 2022, the Reporting Person was granted unvested RSUs, subject to the Issuer's satisfaction of certain predetermined performance criteria and the Reporting Person's continued employment with the Issuer. On August 7, 2026, the Compensation and Human Capital Committee of the Board of Directors of the Issuer certified that the performance criteria applicable to such RSUs had been satisfied, resulting in the full vesting of such RSUs effective August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Cody Bilgrien,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4839" TargetMode="External"/><Relationship Id="rId5" Type="http://schemas.openxmlformats.org/officeDocument/2006/relationships/hyperlink" Target="http://www.sec.gov/cgi-bin/browse-edgar?action=getcompany&amp;CIK=00011660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3842</Characters>
  <CharactersWithSpaces>4455</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